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DAA60" w14:textId="77777777" w:rsidR="005A439E" w:rsidRPr="00992F94" w:rsidRDefault="005A439E" w:rsidP="003928DE">
      <w:pPr>
        <w:pStyle w:val="TitleCover"/>
        <w:pBdr>
          <w:bottom w:val="single" w:sz="18" w:space="31" w:color="auto"/>
        </w:pBdr>
        <w:suppressAutoHyphens/>
        <w:spacing w:before="0" w:after="0"/>
        <w:ind w:right="720"/>
        <w:rPr>
          <w:rFonts w:ascii="Arial" w:hAnsi="Arial" w:cs="Arial"/>
          <w:smallCaps/>
          <w:sz w:val="32"/>
          <w:szCs w:val="32"/>
        </w:rPr>
      </w:pPr>
      <w:r>
        <w:rPr>
          <w:rFonts w:ascii="Arial" w:hAnsi="Arial" w:cs="Arial"/>
          <w:smallCaps/>
          <w:sz w:val="32"/>
          <w:szCs w:val="32"/>
        </w:rPr>
        <w:t>Triple A Partners LLC</w:t>
      </w:r>
    </w:p>
    <w:p w14:paraId="05AE0097" w14:textId="77777777" w:rsidR="005A439E" w:rsidRPr="00992F94" w:rsidRDefault="005A439E" w:rsidP="003928DE">
      <w:pPr>
        <w:pStyle w:val="TitleCover"/>
        <w:pBdr>
          <w:bottom w:val="single" w:sz="18" w:space="31" w:color="auto"/>
        </w:pBdr>
        <w:suppressAutoHyphens/>
        <w:spacing w:before="0" w:after="0"/>
        <w:ind w:right="720"/>
        <w:rPr>
          <w:rFonts w:ascii="Arial" w:hAnsi="Arial" w:cs="Arial"/>
          <w:smallCaps/>
          <w:sz w:val="32"/>
          <w:szCs w:val="32"/>
        </w:rPr>
      </w:pPr>
      <w:r w:rsidRPr="00992F94">
        <w:rPr>
          <w:rFonts w:ascii="Arial" w:hAnsi="Arial" w:cs="Arial"/>
          <w:smallCaps/>
          <w:sz w:val="32"/>
          <w:szCs w:val="32"/>
        </w:rPr>
        <w:t>Business Continuity Plan (</w:t>
      </w:r>
      <w:smartTag w:uri="urn:schemas-microsoft-com:office:smarttags" w:element="stockticker">
        <w:r w:rsidRPr="00992F94">
          <w:rPr>
            <w:rFonts w:ascii="Arial" w:hAnsi="Arial" w:cs="Arial"/>
            <w:smallCaps/>
            <w:sz w:val="32"/>
            <w:szCs w:val="32"/>
          </w:rPr>
          <w:t>BCP</w:t>
        </w:r>
      </w:smartTag>
      <w:r w:rsidRPr="00992F94">
        <w:rPr>
          <w:rFonts w:ascii="Arial" w:hAnsi="Arial" w:cs="Arial"/>
          <w:smallCaps/>
          <w:sz w:val="32"/>
          <w:szCs w:val="32"/>
        </w:rPr>
        <w:t>)</w:t>
      </w:r>
    </w:p>
    <w:p w14:paraId="7F5960EA" w14:textId="77777777" w:rsidR="005A439E" w:rsidRDefault="005A439E" w:rsidP="00CF47B1">
      <w:pPr>
        <w:jc w:val="both"/>
        <w:rPr>
          <w:rFonts w:ascii="Arial" w:hAnsi="Arial" w:cs="Arial"/>
          <w:sz w:val="20"/>
        </w:rPr>
      </w:pPr>
    </w:p>
    <w:p w14:paraId="22E7FCD3" w14:textId="77777777" w:rsidR="005A439E" w:rsidRDefault="005A439E" w:rsidP="00CF47B1">
      <w:pPr>
        <w:jc w:val="both"/>
        <w:rPr>
          <w:rFonts w:ascii="Arial" w:hAnsi="Arial" w:cs="Arial"/>
          <w:sz w:val="20"/>
        </w:rPr>
      </w:pPr>
      <w:r>
        <w:rPr>
          <w:rFonts w:ascii="Arial" w:hAnsi="Arial" w:cs="Arial"/>
          <w:sz w:val="20"/>
        </w:rPr>
        <w:t>This is a Business Continuity Plan (“BCP”) for Triple A Partners LLC (the “Firm”).</w:t>
      </w:r>
    </w:p>
    <w:p w14:paraId="38DB0265" w14:textId="77777777" w:rsidR="005A439E" w:rsidRDefault="005A439E" w:rsidP="00CF47B1">
      <w:pPr>
        <w:pStyle w:val="Heading1"/>
        <w:numPr>
          <w:ilvl w:val="0"/>
          <w:numId w:val="0"/>
        </w:numPr>
        <w:rPr>
          <w:rFonts w:ascii="Arial" w:hAnsi="Arial" w:cs="Arial"/>
          <w:sz w:val="22"/>
          <w:szCs w:val="22"/>
        </w:rPr>
      </w:pPr>
    </w:p>
    <w:p w14:paraId="44F7AB11" w14:textId="77777777" w:rsidR="005A439E" w:rsidRPr="003928DE" w:rsidRDefault="005A439E">
      <w:pPr>
        <w:pStyle w:val="Heading1"/>
        <w:rPr>
          <w:rFonts w:ascii="Arial" w:hAnsi="Arial" w:cs="Arial"/>
          <w:sz w:val="22"/>
          <w:szCs w:val="22"/>
        </w:rPr>
      </w:pPr>
      <w:r w:rsidRPr="003928DE">
        <w:rPr>
          <w:rFonts w:ascii="Arial" w:hAnsi="Arial" w:cs="Arial"/>
          <w:sz w:val="22"/>
          <w:szCs w:val="22"/>
        </w:rPr>
        <w:t>Emergency Contact Persons</w:t>
      </w:r>
    </w:p>
    <w:p w14:paraId="6C6A84DD" w14:textId="77777777" w:rsidR="005A439E" w:rsidRDefault="005A439E">
      <w:pPr>
        <w:rPr>
          <w:rFonts w:ascii="Arial" w:hAnsi="Arial" w:cs="Arial"/>
          <w:sz w:val="20"/>
          <w:szCs w:val="20"/>
        </w:rPr>
      </w:pPr>
      <w:r w:rsidRPr="003928DE">
        <w:rPr>
          <w:rFonts w:ascii="Arial" w:hAnsi="Arial" w:cs="Arial"/>
          <w:sz w:val="20"/>
          <w:szCs w:val="20"/>
        </w:rPr>
        <w:t xml:space="preserve">Our firm’s two emergency contact persons are:  </w:t>
      </w:r>
    </w:p>
    <w:p w14:paraId="4D77FC62" w14:textId="77777777" w:rsidR="005A439E" w:rsidRDefault="005A439E">
      <w:pPr>
        <w:rPr>
          <w:rFonts w:ascii="Arial" w:hAnsi="Arial" w:cs="Arial"/>
          <w:sz w:val="20"/>
          <w:szCs w:val="20"/>
        </w:rPr>
      </w:pPr>
    </w:p>
    <w:p w14:paraId="0F1A1D3D" w14:textId="77777777" w:rsidR="005A439E" w:rsidRPr="00DF7560" w:rsidRDefault="005A439E">
      <w:pPr>
        <w:rPr>
          <w:rFonts w:ascii="Arial" w:hAnsi="Arial" w:cs="Arial"/>
          <w:sz w:val="20"/>
          <w:szCs w:val="20"/>
        </w:rPr>
      </w:pPr>
      <w:r w:rsidRPr="00DF7560">
        <w:rPr>
          <w:rFonts w:ascii="Arial" w:hAnsi="Arial" w:cs="Arial"/>
          <w:sz w:val="20"/>
          <w:szCs w:val="20"/>
        </w:rPr>
        <w:t xml:space="preserve">Warren Wibbelsman, </w:t>
      </w:r>
    </w:p>
    <w:p w14:paraId="77E05445" w14:textId="77777777" w:rsidR="005A439E" w:rsidRPr="00DF7560" w:rsidRDefault="005A439E">
      <w:pPr>
        <w:rPr>
          <w:rFonts w:ascii="Arial" w:hAnsi="Arial" w:cs="Arial"/>
          <w:sz w:val="20"/>
          <w:szCs w:val="20"/>
        </w:rPr>
      </w:pPr>
      <w:r w:rsidRPr="00DF7560">
        <w:rPr>
          <w:rFonts w:ascii="Arial" w:hAnsi="Arial" w:cs="Arial"/>
          <w:sz w:val="20"/>
          <w:szCs w:val="20"/>
        </w:rPr>
        <w:t xml:space="preserve">Email: </w:t>
      </w:r>
      <w:r w:rsidR="00CB3863">
        <w:rPr>
          <w:rFonts w:ascii="Arial" w:hAnsi="Arial" w:cs="Arial"/>
          <w:sz w:val="20"/>
          <w:szCs w:val="20"/>
        </w:rPr>
        <w:t>ww@triplea-us.net</w:t>
      </w:r>
      <w:r w:rsidRPr="00DF7560">
        <w:rPr>
          <w:rFonts w:ascii="Arial" w:hAnsi="Arial" w:cs="Arial"/>
          <w:sz w:val="20"/>
          <w:szCs w:val="20"/>
        </w:rPr>
        <w:t xml:space="preserve"> </w:t>
      </w:r>
    </w:p>
    <w:p w14:paraId="740DD439" w14:textId="6B6A8E7F" w:rsidR="005A439E" w:rsidRPr="00DF7560" w:rsidRDefault="00CB3863">
      <w:pPr>
        <w:rPr>
          <w:rFonts w:ascii="Arial" w:hAnsi="Arial" w:cs="Arial"/>
          <w:sz w:val="20"/>
          <w:szCs w:val="20"/>
        </w:rPr>
      </w:pPr>
      <w:r>
        <w:rPr>
          <w:rFonts w:ascii="Arial" w:hAnsi="Arial" w:cs="Arial"/>
          <w:sz w:val="20"/>
          <w:szCs w:val="20"/>
        </w:rPr>
        <w:t>Primary Phone:</w:t>
      </w:r>
      <w:r w:rsidR="00BD6F85">
        <w:rPr>
          <w:rFonts w:ascii="Arial" w:hAnsi="Arial" w:cs="Arial"/>
          <w:sz w:val="20"/>
          <w:szCs w:val="20"/>
        </w:rPr>
        <w:t>310-773-8127</w:t>
      </w:r>
    </w:p>
    <w:p w14:paraId="519383F8" w14:textId="2598C63F" w:rsidR="005A439E" w:rsidRPr="00DF7560" w:rsidRDefault="00CB3863" w:rsidP="00BC6F04">
      <w:pPr>
        <w:rPr>
          <w:rFonts w:ascii="Arial" w:hAnsi="Arial" w:cs="Arial"/>
          <w:sz w:val="20"/>
          <w:szCs w:val="20"/>
        </w:rPr>
      </w:pPr>
      <w:r>
        <w:rPr>
          <w:rFonts w:ascii="Arial" w:hAnsi="Arial" w:cs="Arial"/>
          <w:sz w:val="20"/>
          <w:szCs w:val="20"/>
        </w:rPr>
        <w:t xml:space="preserve">Primary Fax: </w:t>
      </w:r>
      <w:r w:rsidR="00BD6F85">
        <w:rPr>
          <w:rFonts w:ascii="Arial" w:hAnsi="Arial" w:cs="Arial"/>
          <w:sz w:val="20"/>
          <w:szCs w:val="20"/>
        </w:rPr>
        <w:t>none</w:t>
      </w:r>
    </w:p>
    <w:p w14:paraId="233AA546" w14:textId="77777777" w:rsidR="005A439E" w:rsidRPr="00DF7560" w:rsidRDefault="005A439E" w:rsidP="00BC6F04">
      <w:pPr>
        <w:rPr>
          <w:rFonts w:ascii="Arial" w:hAnsi="Arial" w:cs="Arial"/>
          <w:sz w:val="20"/>
          <w:szCs w:val="20"/>
        </w:rPr>
      </w:pPr>
      <w:r w:rsidRPr="00DF7560">
        <w:rPr>
          <w:rFonts w:ascii="Arial" w:hAnsi="Arial" w:cs="Arial"/>
          <w:sz w:val="20"/>
          <w:szCs w:val="20"/>
        </w:rPr>
        <w:t>Alternate Phone: 310-773-8127</w:t>
      </w:r>
    </w:p>
    <w:p w14:paraId="1BE342A7" w14:textId="77777777" w:rsidR="005A439E" w:rsidRPr="00DF7560" w:rsidRDefault="005A439E">
      <w:pPr>
        <w:rPr>
          <w:rFonts w:ascii="Arial" w:hAnsi="Arial" w:cs="Arial"/>
          <w:sz w:val="20"/>
          <w:szCs w:val="20"/>
        </w:rPr>
      </w:pPr>
      <w:r w:rsidRPr="00DF7560">
        <w:rPr>
          <w:rFonts w:ascii="Arial" w:hAnsi="Arial" w:cs="Arial"/>
          <w:sz w:val="20"/>
          <w:szCs w:val="20"/>
        </w:rPr>
        <w:t>Alternate Fax: None</w:t>
      </w:r>
    </w:p>
    <w:p w14:paraId="7880BA6F" w14:textId="77777777" w:rsidR="005A439E" w:rsidRPr="00DF7560" w:rsidRDefault="005A439E">
      <w:pPr>
        <w:rPr>
          <w:rFonts w:ascii="Arial" w:hAnsi="Arial" w:cs="Arial"/>
          <w:sz w:val="20"/>
          <w:szCs w:val="20"/>
        </w:rPr>
      </w:pPr>
    </w:p>
    <w:p w14:paraId="7D7D363F" w14:textId="77777777" w:rsidR="005A439E" w:rsidRPr="00DF7560" w:rsidRDefault="005A439E">
      <w:pPr>
        <w:rPr>
          <w:rFonts w:ascii="Arial" w:hAnsi="Arial" w:cs="Arial"/>
          <w:sz w:val="20"/>
          <w:szCs w:val="20"/>
        </w:rPr>
      </w:pPr>
    </w:p>
    <w:p w14:paraId="47970DE4" w14:textId="77777777" w:rsidR="005A439E" w:rsidRPr="00DF7560" w:rsidRDefault="00706AA0">
      <w:pPr>
        <w:rPr>
          <w:rFonts w:ascii="Arial" w:hAnsi="Arial" w:cs="Arial"/>
          <w:sz w:val="20"/>
          <w:szCs w:val="20"/>
        </w:rPr>
      </w:pPr>
      <w:r>
        <w:rPr>
          <w:rFonts w:ascii="Arial" w:hAnsi="Arial" w:cs="Arial"/>
          <w:sz w:val="20"/>
          <w:szCs w:val="20"/>
        </w:rPr>
        <w:t>William Morgan</w:t>
      </w:r>
    </w:p>
    <w:p w14:paraId="08FCB92D" w14:textId="77777777" w:rsidR="005A439E" w:rsidRPr="00DF7560" w:rsidRDefault="005A439E">
      <w:pPr>
        <w:rPr>
          <w:rFonts w:ascii="Arial" w:hAnsi="Arial" w:cs="Arial"/>
          <w:sz w:val="20"/>
          <w:szCs w:val="20"/>
        </w:rPr>
      </w:pPr>
      <w:r w:rsidRPr="00DF7560">
        <w:rPr>
          <w:rFonts w:ascii="Arial" w:hAnsi="Arial" w:cs="Arial"/>
          <w:sz w:val="20"/>
          <w:szCs w:val="20"/>
        </w:rPr>
        <w:t xml:space="preserve">Email: </w:t>
      </w:r>
      <w:r w:rsidR="00706AA0">
        <w:rPr>
          <w:rFonts w:ascii="Arial" w:hAnsi="Arial" w:cs="Arial"/>
          <w:sz w:val="20"/>
          <w:szCs w:val="20"/>
        </w:rPr>
        <w:t>billmorgan</w:t>
      </w:r>
      <w:r w:rsidR="00CB3863">
        <w:rPr>
          <w:rFonts w:ascii="Arial" w:hAnsi="Arial" w:cs="Arial"/>
          <w:sz w:val="20"/>
          <w:szCs w:val="20"/>
        </w:rPr>
        <w:t>@triplea-us.net</w:t>
      </w:r>
    </w:p>
    <w:p w14:paraId="6258A28D" w14:textId="77777777" w:rsidR="005A439E" w:rsidRPr="00DF7560" w:rsidRDefault="00CB3863">
      <w:pPr>
        <w:rPr>
          <w:rFonts w:ascii="Arial" w:hAnsi="Arial" w:cs="Arial"/>
          <w:sz w:val="20"/>
          <w:szCs w:val="20"/>
        </w:rPr>
      </w:pPr>
      <w:r>
        <w:rPr>
          <w:rFonts w:ascii="Arial" w:hAnsi="Arial" w:cs="Arial"/>
          <w:sz w:val="20"/>
          <w:szCs w:val="20"/>
        </w:rPr>
        <w:t xml:space="preserve">Primary Phone: </w:t>
      </w:r>
      <w:r w:rsidR="00706AA0">
        <w:rPr>
          <w:rFonts w:ascii="Arial" w:hAnsi="Arial" w:cs="Arial"/>
          <w:sz w:val="20"/>
          <w:szCs w:val="20"/>
        </w:rPr>
        <w:t>626-827-2116</w:t>
      </w:r>
    </w:p>
    <w:p w14:paraId="7D60E5B1" w14:textId="77777777" w:rsidR="005A439E" w:rsidRPr="00DF7560" w:rsidRDefault="00CB3863">
      <w:pPr>
        <w:rPr>
          <w:rFonts w:ascii="Arial" w:hAnsi="Arial" w:cs="Arial"/>
          <w:sz w:val="20"/>
          <w:szCs w:val="20"/>
        </w:rPr>
      </w:pPr>
      <w:r>
        <w:rPr>
          <w:rFonts w:ascii="Arial" w:hAnsi="Arial" w:cs="Arial"/>
          <w:sz w:val="20"/>
          <w:szCs w:val="20"/>
        </w:rPr>
        <w:t>Primary fax:</w:t>
      </w:r>
      <w:r w:rsidRPr="00CB3863">
        <w:rPr>
          <w:rFonts w:ascii="Arial" w:hAnsi="Arial" w:cs="Arial"/>
          <w:sz w:val="20"/>
          <w:szCs w:val="20"/>
        </w:rPr>
        <w:t xml:space="preserve"> </w:t>
      </w:r>
      <w:r>
        <w:rPr>
          <w:rFonts w:ascii="Arial" w:hAnsi="Arial" w:cs="Arial"/>
          <w:sz w:val="20"/>
          <w:szCs w:val="20"/>
        </w:rPr>
        <w:t>310</w:t>
      </w:r>
      <w:r w:rsidR="00706AA0">
        <w:rPr>
          <w:rFonts w:ascii="Arial" w:hAnsi="Arial" w:cs="Arial"/>
          <w:sz w:val="20"/>
          <w:szCs w:val="20"/>
        </w:rPr>
        <w:t>-</w:t>
      </w:r>
      <w:r>
        <w:rPr>
          <w:rFonts w:ascii="Arial" w:hAnsi="Arial" w:cs="Arial"/>
          <w:sz w:val="20"/>
          <w:szCs w:val="20"/>
        </w:rPr>
        <w:t>943</w:t>
      </w:r>
      <w:r w:rsidR="00706AA0">
        <w:rPr>
          <w:rFonts w:ascii="Arial" w:hAnsi="Arial" w:cs="Arial"/>
          <w:sz w:val="20"/>
          <w:szCs w:val="20"/>
        </w:rPr>
        <w:t>-</w:t>
      </w:r>
      <w:r>
        <w:rPr>
          <w:rFonts w:ascii="Arial" w:hAnsi="Arial" w:cs="Arial"/>
          <w:sz w:val="20"/>
          <w:szCs w:val="20"/>
        </w:rPr>
        <w:t>0419</w:t>
      </w:r>
    </w:p>
    <w:p w14:paraId="0958BBC7" w14:textId="77777777" w:rsidR="005A439E" w:rsidRPr="00DF7560" w:rsidRDefault="005A439E">
      <w:pPr>
        <w:rPr>
          <w:rFonts w:ascii="Arial" w:hAnsi="Arial" w:cs="Arial"/>
          <w:sz w:val="20"/>
          <w:szCs w:val="20"/>
        </w:rPr>
      </w:pPr>
    </w:p>
    <w:p w14:paraId="2C287A2A" w14:textId="77777777" w:rsidR="005A439E" w:rsidRPr="003928DE" w:rsidRDefault="005A439E" w:rsidP="00DF7560">
      <w:pPr>
        <w:jc w:val="both"/>
        <w:rPr>
          <w:rFonts w:ascii="Arial" w:hAnsi="Arial" w:cs="Arial"/>
          <w:sz w:val="20"/>
          <w:szCs w:val="20"/>
        </w:rPr>
      </w:pPr>
      <w:r w:rsidRPr="003928DE">
        <w:rPr>
          <w:rFonts w:ascii="Arial" w:hAnsi="Arial" w:cs="Arial"/>
          <w:sz w:val="20"/>
          <w:szCs w:val="20"/>
        </w:rPr>
        <w:t>Th</w:t>
      </w:r>
      <w:r>
        <w:rPr>
          <w:rFonts w:ascii="Arial" w:hAnsi="Arial" w:cs="Arial"/>
          <w:sz w:val="20"/>
          <w:szCs w:val="20"/>
        </w:rPr>
        <w:t>ese names</w:t>
      </w:r>
      <w:r w:rsidRPr="003928DE">
        <w:rPr>
          <w:rFonts w:ascii="Arial" w:hAnsi="Arial" w:cs="Arial"/>
          <w:sz w:val="20"/>
          <w:szCs w:val="20"/>
        </w:rPr>
        <w:t xml:space="preserve"> will be updated </w:t>
      </w:r>
      <w:r w:rsidR="006928B4">
        <w:rPr>
          <w:rFonts w:ascii="Arial" w:hAnsi="Arial" w:cs="Arial"/>
          <w:sz w:val="20"/>
          <w:szCs w:val="20"/>
        </w:rPr>
        <w:t xml:space="preserve">promptly </w:t>
      </w:r>
      <w:r w:rsidRPr="003928DE">
        <w:rPr>
          <w:rFonts w:ascii="Arial" w:hAnsi="Arial" w:cs="Arial"/>
          <w:sz w:val="20"/>
          <w:szCs w:val="20"/>
        </w:rPr>
        <w:t>in the event of a material change</w:t>
      </w:r>
      <w:r w:rsidR="00DE67B6">
        <w:rPr>
          <w:rFonts w:ascii="Arial" w:hAnsi="Arial" w:cs="Arial"/>
          <w:sz w:val="20"/>
          <w:szCs w:val="20"/>
        </w:rPr>
        <w:t>.</w:t>
      </w:r>
      <w:r w:rsidR="00DE67B6" w:rsidRPr="003928DE">
        <w:rPr>
          <w:rFonts w:ascii="Arial" w:hAnsi="Arial" w:cs="Arial"/>
          <w:sz w:val="20"/>
          <w:szCs w:val="20"/>
        </w:rPr>
        <w:t xml:space="preserve"> </w:t>
      </w:r>
    </w:p>
    <w:p w14:paraId="27E371EE" w14:textId="77777777" w:rsidR="005A439E" w:rsidRPr="003928DE" w:rsidRDefault="005A439E" w:rsidP="00DF7560">
      <w:pPr>
        <w:jc w:val="both"/>
        <w:rPr>
          <w:rFonts w:ascii="Arial" w:hAnsi="Arial" w:cs="Arial"/>
          <w:i/>
          <w:sz w:val="20"/>
          <w:szCs w:val="20"/>
        </w:rPr>
      </w:pPr>
      <w:r w:rsidRPr="003928DE">
        <w:rPr>
          <w:rFonts w:ascii="Arial" w:hAnsi="Arial" w:cs="Arial"/>
          <w:i/>
          <w:sz w:val="20"/>
          <w:szCs w:val="20"/>
          <w:u w:val="single"/>
        </w:rPr>
        <w:t>Rule:</w:t>
      </w:r>
      <w:r w:rsidRPr="003928DE">
        <w:rPr>
          <w:rFonts w:ascii="Arial" w:hAnsi="Arial" w:cs="Arial"/>
          <w:i/>
          <w:sz w:val="20"/>
          <w:szCs w:val="20"/>
        </w:rPr>
        <w:t xml:space="preserve">  </w:t>
      </w:r>
      <w:r w:rsidR="00892C1D">
        <w:rPr>
          <w:rFonts w:ascii="Arial" w:hAnsi="Arial" w:cs="Arial"/>
          <w:i/>
          <w:sz w:val="20"/>
          <w:szCs w:val="20"/>
        </w:rPr>
        <w:t>FINRA</w:t>
      </w:r>
      <w:r w:rsidRPr="003928DE">
        <w:rPr>
          <w:rFonts w:ascii="Arial" w:hAnsi="Arial" w:cs="Arial"/>
          <w:i/>
          <w:sz w:val="20"/>
          <w:szCs w:val="20"/>
        </w:rPr>
        <w:t xml:space="preserve"> Rule </w:t>
      </w:r>
      <w:r w:rsidR="00892C1D">
        <w:rPr>
          <w:rFonts w:ascii="Arial" w:hAnsi="Arial" w:cs="Arial"/>
          <w:i/>
          <w:sz w:val="20"/>
          <w:szCs w:val="20"/>
        </w:rPr>
        <w:t>4370</w:t>
      </w:r>
      <w:r w:rsidR="00DE67B6">
        <w:rPr>
          <w:rFonts w:ascii="Arial" w:hAnsi="Arial" w:cs="Arial"/>
          <w:i/>
          <w:sz w:val="20"/>
          <w:szCs w:val="20"/>
        </w:rPr>
        <w:t>(</w:t>
      </w:r>
      <w:r w:rsidRPr="003928DE">
        <w:rPr>
          <w:rFonts w:ascii="Arial" w:hAnsi="Arial" w:cs="Arial"/>
          <w:i/>
          <w:sz w:val="20"/>
          <w:szCs w:val="20"/>
        </w:rPr>
        <w:t>a</w:t>
      </w:r>
      <w:r w:rsidR="00DE67B6">
        <w:rPr>
          <w:rFonts w:ascii="Arial" w:hAnsi="Arial" w:cs="Arial"/>
          <w:i/>
          <w:sz w:val="20"/>
          <w:szCs w:val="20"/>
        </w:rPr>
        <w:t>)</w:t>
      </w:r>
    </w:p>
    <w:p w14:paraId="5B9674AD" w14:textId="77777777" w:rsidR="005A439E" w:rsidRDefault="005A439E" w:rsidP="00DF7560">
      <w:pPr>
        <w:jc w:val="both"/>
        <w:rPr>
          <w:rFonts w:ascii="Arial" w:hAnsi="Arial" w:cs="Arial"/>
          <w:iCs/>
          <w:sz w:val="20"/>
          <w:szCs w:val="20"/>
        </w:rPr>
      </w:pPr>
    </w:p>
    <w:p w14:paraId="3606FA0C" w14:textId="77777777" w:rsidR="005A439E" w:rsidRPr="003928DE" w:rsidRDefault="005A439E" w:rsidP="00DF7560">
      <w:pPr>
        <w:jc w:val="both"/>
        <w:rPr>
          <w:rFonts w:ascii="Arial" w:hAnsi="Arial" w:cs="Arial"/>
          <w:iCs/>
          <w:sz w:val="20"/>
          <w:szCs w:val="20"/>
        </w:rPr>
      </w:pPr>
    </w:p>
    <w:p w14:paraId="44B37919" w14:textId="77777777" w:rsidR="005A439E" w:rsidRPr="003928DE" w:rsidRDefault="005A439E" w:rsidP="00DF7560">
      <w:pPr>
        <w:pStyle w:val="Heading1"/>
        <w:tabs>
          <w:tab w:val="clear" w:pos="360"/>
        </w:tabs>
        <w:jc w:val="both"/>
        <w:rPr>
          <w:rFonts w:ascii="Arial" w:hAnsi="Arial" w:cs="Arial"/>
          <w:sz w:val="22"/>
          <w:szCs w:val="22"/>
        </w:rPr>
      </w:pPr>
      <w:r w:rsidRPr="003928DE">
        <w:rPr>
          <w:rFonts w:ascii="Arial" w:hAnsi="Arial" w:cs="Arial"/>
          <w:sz w:val="22"/>
          <w:szCs w:val="22"/>
        </w:rPr>
        <w:t xml:space="preserve">Firm Policy </w:t>
      </w:r>
    </w:p>
    <w:p w14:paraId="34398CA6" w14:textId="77777777" w:rsidR="005A439E" w:rsidRPr="003928DE" w:rsidRDefault="005A439E" w:rsidP="00DF7560">
      <w:pPr>
        <w:jc w:val="both"/>
        <w:rPr>
          <w:rFonts w:ascii="Arial" w:hAnsi="Arial" w:cs="Arial"/>
          <w:sz w:val="20"/>
          <w:szCs w:val="20"/>
        </w:rPr>
      </w:pPr>
      <w:r w:rsidRPr="003928DE">
        <w:rPr>
          <w:rFonts w:ascii="Arial" w:hAnsi="Arial" w:cs="Arial"/>
          <w:sz w:val="20"/>
          <w:szCs w:val="20"/>
        </w:rPr>
        <w:t xml:space="preserve">Our firm’s policy is to respond to a Significant Business Disruption (SBD) by safeguarding employees’ lives and firm property, making a financial and operational assessment, quickly recovering and resuming operations, protecting all of the firm’s books and records, and allowing our customers to transact business.  In the event that we determine we are unable to continue our business, we will assure customers prompt access to their funds and securities.  </w:t>
      </w:r>
    </w:p>
    <w:p w14:paraId="1ED58A9B" w14:textId="77777777" w:rsidR="005A439E" w:rsidRPr="003928DE" w:rsidRDefault="005A439E" w:rsidP="00DF7560">
      <w:pPr>
        <w:jc w:val="both"/>
        <w:rPr>
          <w:rFonts w:ascii="Arial" w:hAnsi="Arial" w:cs="Arial"/>
          <w:sz w:val="20"/>
          <w:szCs w:val="20"/>
        </w:rPr>
      </w:pPr>
    </w:p>
    <w:p w14:paraId="01332F09" w14:textId="77777777" w:rsidR="005A439E" w:rsidRPr="003928DE" w:rsidRDefault="005A439E" w:rsidP="00DF7560">
      <w:pPr>
        <w:pStyle w:val="Heading2"/>
        <w:jc w:val="both"/>
        <w:rPr>
          <w:rFonts w:ascii="Arial" w:hAnsi="Arial" w:cs="Arial"/>
          <w:sz w:val="22"/>
          <w:szCs w:val="22"/>
        </w:rPr>
      </w:pPr>
      <w:r w:rsidRPr="003928DE">
        <w:rPr>
          <w:rFonts w:ascii="Arial" w:hAnsi="Arial" w:cs="Arial"/>
          <w:sz w:val="22"/>
          <w:szCs w:val="22"/>
        </w:rPr>
        <w:t>Significant Business Disruptions (SBDs)</w:t>
      </w:r>
    </w:p>
    <w:p w14:paraId="23A00DC4" w14:textId="77777777" w:rsidR="005A439E" w:rsidRPr="003928DE" w:rsidRDefault="005A439E" w:rsidP="00DF7560">
      <w:pPr>
        <w:ind w:left="720"/>
        <w:jc w:val="both"/>
        <w:rPr>
          <w:rFonts w:ascii="Arial" w:hAnsi="Arial" w:cs="Arial"/>
          <w:iCs/>
          <w:sz w:val="20"/>
          <w:szCs w:val="20"/>
        </w:rPr>
      </w:pPr>
      <w:r w:rsidRPr="003928DE">
        <w:rPr>
          <w:rFonts w:ascii="Arial" w:hAnsi="Arial" w:cs="Arial"/>
          <w:sz w:val="20"/>
          <w:szCs w:val="20"/>
        </w:rPr>
        <w:t>Our plan anticipates two kinds of SBDs, internal and external.  Internal SBDs affect only our firm’s ability to communicate and do business, such as a fire in our building.  External SBDs prevent the operation of the securities markets or a number of firms, such as a terrorist attack, a city flood, or a wide-scale, regional disruption.  Our response to an external SBD relies more heavily on other organizations and systems, especially on the capabilities of our clearing firm.</w:t>
      </w:r>
    </w:p>
    <w:p w14:paraId="4E3CD319" w14:textId="77777777" w:rsidR="005A439E" w:rsidRPr="00A862DE" w:rsidRDefault="005A439E" w:rsidP="00DF7560">
      <w:pPr>
        <w:jc w:val="both"/>
        <w:rPr>
          <w:rFonts w:ascii="Arial" w:hAnsi="Arial" w:cs="Arial"/>
          <w:sz w:val="20"/>
          <w:szCs w:val="20"/>
        </w:rPr>
      </w:pPr>
    </w:p>
    <w:p w14:paraId="0E7B4296" w14:textId="77777777" w:rsidR="005A439E" w:rsidRPr="003928DE" w:rsidRDefault="005A439E" w:rsidP="00DF7560">
      <w:pPr>
        <w:pStyle w:val="Heading2"/>
        <w:jc w:val="both"/>
        <w:rPr>
          <w:rFonts w:ascii="Arial" w:hAnsi="Arial" w:cs="Arial"/>
          <w:sz w:val="20"/>
        </w:rPr>
      </w:pPr>
      <w:r w:rsidRPr="003928DE">
        <w:rPr>
          <w:rFonts w:ascii="Arial" w:hAnsi="Arial" w:cs="Arial"/>
          <w:sz w:val="22"/>
          <w:szCs w:val="22"/>
        </w:rPr>
        <w:t>Approval and Execution Authority</w:t>
      </w:r>
    </w:p>
    <w:p w14:paraId="29B61DDB" w14:textId="77777777" w:rsidR="005A439E" w:rsidRDefault="005A439E" w:rsidP="00DF7560">
      <w:pPr>
        <w:ind w:left="720"/>
        <w:jc w:val="both"/>
        <w:rPr>
          <w:rFonts w:ascii="Arial" w:hAnsi="Arial" w:cs="Arial"/>
          <w:sz w:val="20"/>
          <w:szCs w:val="20"/>
        </w:rPr>
      </w:pPr>
      <w:r>
        <w:rPr>
          <w:rFonts w:ascii="Arial" w:hAnsi="Arial" w:cs="Arial"/>
          <w:sz w:val="20"/>
          <w:szCs w:val="20"/>
        </w:rPr>
        <w:t>Warren Wibbelsman,</w:t>
      </w:r>
      <w:r w:rsidRPr="003928DE">
        <w:rPr>
          <w:rFonts w:ascii="Arial" w:hAnsi="Arial" w:cs="Arial"/>
          <w:sz w:val="20"/>
          <w:szCs w:val="20"/>
        </w:rPr>
        <w:t xml:space="preserve"> </w:t>
      </w:r>
      <w:r>
        <w:rPr>
          <w:rFonts w:ascii="Arial" w:hAnsi="Arial" w:cs="Arial"/>
          <w:sz w:val="20"/>
          <w:szCs w:val="20"/>
        </w:rPr>
        <w:t>COO, CCO,</w:t>
      </w:r>
      <w:r w:rsidR="00DE67B6">
        <w:rPr>
          <w:rFonts w:ascii="Arial" w:hAnsi="Arial" w:cs="Arial"/>
          <w:sz w:val="20"/>
          <w:szCs w:val="20"/>
        </w:rPr>
        <w:t xml:space="preserve"> </w:t>
      </w:r>
      <w:r>
        <w:rPr>
          <w:rFonts w:ascii="Arial" w:hAnsi="Arial" w:cs="Arial"/>
          <w:sz w:val="20"/>
          <w:szCs w:val="20"/>
        </w:rPr>
        <w:t xml:space="preserve">CEO, AMLCO, </w:t>
      </w:r>
      <w:r w:rsidRPr="003928DE">
        <w:rPr>
          <w:rFonts w:ascii="Arial" w:hAnsi="Arial" w:cs="Arial"/>
          <w:sz w:val="20"/>
          <w:szCs w:val="20"/>
        </w:rPr>
        <w:t xml:space="preserve">a registered principal, is responsible for approving the plan and for conducting the required annual review.  </w:t>
      </w:r>
      <w:r>
        <w:rPr>
          <w:rFonts w:ascii="Arial" w:hAnsi="Arial" w:cs="Arial"/>
          <w:sz w:val="20"/>
          <w:szCs w:val="20"/>
        </w:rPr>
        <w:t>Mr. Wibbelsman</w:t>
      </w:r>
      <w:r w:rsidRPr="003928DE">
        <w:rPr>
          <w:rFonts w:ascii="Arial" w:hAnsi="Arial" w:cs="Arial"/>
          <w:sz w:val="20"/>
          <w:szCs w:val="20"/>
        </w:rPr>
        <w:t xml:space="preserve"> has the authority to execute this </w:t>
      </w:r>
      <w:smartTag w:uri="urn:schemas-microsoft-com:office:smarttags" w:element="stockticker">
        <w:r w:rsidRPr="003928DE">
          <w:rPr>
            <w:rFonts w:ascii="Arial" w:hAnsi="Arial" w:cs="Arial"/>
            <w:sz w:val="20"/>
            <w:szCs w:val="20"/>
          </w:rPr>
          <w:t>BCP</w:t>
        </w:r>
      </w:smartTag>
      <w:r w:rsidRPr="003928DE">
        <w:rPr>
          <w:rFonts w:ascii="Arial" w:hAnsi="Arial" w:cs="Arial"/>
          <w:sz w:val="20"/>
          <w:szCs w:val="20"/>
        </w:rPr>
        <w:t>.</w:t>
      </w:r>
    </w:p>
    <w:p w14:paraId="4AA41839" w14:textId="77777777" w:rsidR="00DE67B6" w:rsidRDefault="00DE67B6" w:rsidP="00DF7560">
      <w:pPr>
        <w:ind w:left="720"/>
        <w:jc w:val="both"/>
        <w:rPr>
          <w:rFonts w:ascii="Arial" w:hAnsi="Arial" w:cs="Arial"/>
          <w:sz w:val="20"/>
          <w:szCs w:val="20"/>
        </w:rPr>
      </w:pPr>
    </w:p>
    <w:p w14:paraId="14422F5B" w14:textId="77777777" w:rsidR="005A439E" w:rsidRPr="00A862DE" w:rsidRDefault="005A439E" w:rsidP="00DF7560">
      <w:pPr>
        <w:jc w:val="both"/>
        <w:rPr>
          <w:rFonts w:ascii="Arial" w:hAnsi="Arial" w:cs="Arial"/>
          <w:sz w:val="20"/>
          <w:szCs w:val="20"/>
        </w:rPr>
      </w:pPr>
    </w:p>
    <w:p w14:paraId="4A1F7812" w14:textId="77777777" w:rsidR="005A439E" w:rsidRPr="00DF7560" w:rsidRDefault="005A439E" w:rsidP="00DF7560">
      <w:pPr>
        <w:pStyle w:val="Heading2"/>
        <w:jc w:val="both"/>
        <w:rPr>
          <w:rFonts w:ascii="Arial" w:hAnsi="Arial" w:cs="Arial"/>
          <w:sz w:val="22"/>
          <w:szCs w:val="22"/>
        </w:rPr>
      </w:pPr>
      <w:r w:rsidRPr="00DF7560">
        <w:rPr>
          <w:rFonts w:ascii="Arial" w:hAnsi="Arial" w:cs="Arial"/>
          <w:sz w:val="22"/>
          <w:szCs w:val="22"/>
        </w:rPr>
        <w:t xml:space="preserve">Plan Location and Access </w:t>
      </w:r>
    </w:p>
    <w:p w14:paraId="344E255A" w14:textId="77777777" w:rsidR="005A439E" w:rsidRPr="00DF7560" w:rsidRDefault="005A439E" w:rsidP="00DF7560">
      <w:pPr>
        <w:jc w:val="both"/>
      </w:pPr>
      <w:r w:rsidRPr="003928DE">
        <w:rPr>
          <w:rFonts w:ascii="Arial" w:hAnsi="Arial" w:cs="Arial"/>
          <w:sz w:val="20"/>
          <w:szCs w:val="20"/>
        </w:rPr>
        <w:t xml:space="preserve">Our firm will maintain copies of its </w:t>
      </w:r>
      <w:smartTag w:uri="urn:schemas-microsoft-com:office:smarttags" w:element="stockticker">
        <w:r w:rsidRPr="003928DE">
          <w:rPr>
            <w:rFonts w:ascii="Arial" w:hAnsi="Arial" w:cs="Arial"/>
            <w:sz w:val="20"/>
            <w:szCs w:val="20"/>
          </w:rPr>
          <w:t>BCP</w:t>
        </w:r>
      </w:smartTag>
      <w:r w:rsidRPr="003928DE">
        <w:rPr>
          <w:rFonts w:ascii="Arial" w:hAnsi="Arial" w:cs="Arial"/>
          <w:sz w:val="20"/>
          <w:szCs w:val="20"/>
        </w:rPr>
        <w:t xml:space="preserve"> plan and the annual reviews, and the changes that have been made to it for inspection.  </w:t>
      </w:r>
      <w:r w:rsidRPr="003928DE">
        <w:rPr>
          <w:rFonts w:ascii="Arial" w:hAnsi="Arial" w:cs="Arial"/>
          <w:iCs/>
          <w:sz w:val="20"/>
          <w:szCs w:val="20"/>
        </w:rPr>
        <w:t xml:space="preserve">An electronic copy of our plan is located </w:t>
      </w:r>
      <w:r w:rsidR="00706AA0">
        <w:rPr>
          <w:rFonts w:ascii="Arial" w:hAnsi="Arial" w:cs="Arial"/>
          <w:sz w:val="20"/>
          <w:szCs w:val="20"/>
        </w:rPr>
        <w:t xml:space="preserve">with </w:t>
      </w:r>
      <w:r>
        <w:rPr>
          <w:rFonts w:ascii="Arial" w:hAnsi="Arial" w:cs="Arial"/>
          <w:sz w:val="20"/>
          <w:szCs w:val="20"/>
        </w:rPr>
        <w:t>our document archiving service “Global Relay”</w:t>
      </w:r>
      <w:r w:rsidR="00706AA0">
        <w:rPr>
          <w:rFonts w:ascii="Arial" w:hAnsi="Arial" w:cs="Arial"/>
          <w:sz w:val="20"/>
          <w:szCs w:val="20"/>
        </w:rPr>
        <w:t>.</w:t>
      </w:r>
      <w:r>
        <w:rPr>
          <w:rFonts w:ascii="Arial" w:hAnsi="Arial" w:cs="Arial"/>
          <w:sz w:val="20"/>
          <w:szCs w:val="20"/>
        </w:rPr>
        <w:t xml:space="preserve"> </w:t>
      </w:r>
    </w:p>
    <w:p w14:paraId="34FBCD3B" w14:textId="77777777" w:rsidR="005A439E" w:rsidRPr="003928DE" w:rsidRDefault="005A439E" w:rsidP="005D7FD6">
      <w:pPr>
        <w:ind w:left="720"/>
        <w:jc w:val="both"/>
        <w:rPr>
          <w:rFonts w:ascii="Arial" w:hAnsi="Arial" w:cs="Arial"/>
          <w:sz w:val="20"/>
          <w:szCs w:val="20"/>
        </w:rPr>
      </w:pPr>
    </w:p>
    <w:p w14:paraId="3AFD1A9D" w14:textId="77777777" w:rsidR="005A439E" w:rsidRPr="003928DE" w:rsidRDefault="005A439E" w:rsidP="005D7FD6">
      <w:pPr>
        <w:jc w:val="both"/>
        <w:rPr>
          <w:rFonts w:ascii="Arial" w:hAnsi="Arial" w:cs="Arial"/>
          <w:iCs/>
          <w:sz w:val="20"/>
          <w:szCs w:val="20"/>
        </w:rPr>
      </w:pPr>
    </w:p>
    <w:p w14:paraId="1AF2CC22" w14:textId="77777777" w:rsidR="005A439E" w:rsidRPr="003928DE" w:rsidRDefault="005A439E" w:rsidP="005D7FD6">
      <w:pPr>
        <w:pStyle w:val="Heading1"/>
        <w:tabs>
          <w:tab w:val="clear" w:pos="360"/>
        </w:tabs>
        <w:jc w:val="both"/>
        <w:rPr>
          <w:rFonts w:ascii="Arial" w:hAnsi="Arial" w:cs="Arial"/>
          <w:sz w:val="22"/>
          <w:szCs w:val="22"/>
        </w:rPr>
      </w:pPr>
      <w:r w:rsidRPr="003928DE">
        <w:rPr>
          <w:rFonts w:ascii="Arial" w:hAnsi="Arial" w:cs="Arial"/>
          <w:sz w:val="22"/>
          <w:szCs w:val="22"/>
        </w:rPr>
        <w:t>Business Description</w:t>
      </w:r>
    </w:p>
    <w:p w14:paraId="6F8DF8AF" w14:textId="77777777" w:rsidR="005A439E" w:rsidRPr="00532DAC" w:rsidRDefault="005A439E" w:rsidP="00DF7560">
      <w:pPr>
        <w:jc w:val="both"/>
        <w:rPr>
          <w:rFonts w:ascii="Arial" w:hAnsi="Arial" w:cs="Arial"/>
          <w:sz w:val="20"/>
          <w:szCs w:val="20"/>
        </w:rPr>
      </w:pPr>
      <w:r w:rsidRPr="00532DAC">
        <w:rPr>
          <w:rFonts w:ascii="Arial" w:hAnsi="Arial" w:cs="Arial"/>
          <w:sz w:val="20"/>
          <w:szCs w:val="20"/>
        </w:rPr>
        <w:t xml:space="preserve">The firm’s primary business will be in (1) Private Placements.  The Firm will also act as an introducing broker to investors to invest in Private Placements in the </w:t>
      </w:r>
      <w:smartTag w:uri="urn:schemas-microsoft-com:office:smarttags" w:element="country-region">
        <w:smartTag w:uri="urn:schemas-microsoft-com:office:smarttags" w:element="place">
          <w:r w:rsidRPr="00532DAC">
            <w:rPr>
              <w:rFonts w:ascii="Arial" w:hAnsi="Arial" w:cs="Arial"/>
              <w:sz w:val="20"/>
              <w:szCs w:val="20"/>
            </w:rPr>
            <w:t>US</w:t>
          </w:r>
        </w:smartTag>
      </w:smartTag>
      <w:r w:rsidRPr="00532DAC">
        <w:rPr>
          <w:rFonts w:ascii="Arial" w:hAnsi="Arial" w:cs="Arial"/>
          <w:sz w:val="20"/>
          <w:szCs w:val="20"/>
        </w:rPr>
        <w:t xml:space="preserve"> and Foreign markets.  Furthermore, we do not hold customer funds or securities.</w:t>
      </w:r>
    </w:p>
    <w:p w14:paraId="348A4497" w14:textId="77777777" w:rsidR="005A439E" w:rsidRDefault="005A439E" w:rsidP="005D7FD6">
      <w:pPr>
        <w:pStyle w:val="Header"/>
        <w:tabs>
          <w:tab w:val="clear" w:pos="4320"/>
          <w:tab w:val="clear" w:pos="8640"/>
        </w:tabs>
        <w:jc w:val="both"/>
        <w:rPr>
          <w:rFonts w:ascii="Arial" w:hAnsi="Arial" w:cs="Arial"/>
          <w:sz w:val="20"/>
          <w:szCs w:val="20"/>
        </w:rPr>
      </w:pPr>
    </w:p>
    <w:p w14:paraId="377627CD" w14:textId="77777777" w:rsidR="005A439E" w:rsidRPr="003928DE" w:rsidRDefault="005A439E" w:rsidP="005D7FD6">
      <w:pPr>
        <w:pStyle w:val="Header"/>
        <w:tabs>
          <w:tab w:val="clear" w:pos="4320"/>
          <w:tab w:val="clear" w:pos="8640"/>
        </w:tabs>
        <w:jc w:val="both"/>
        <w:rPr>
          <w:rFonts w:ascii="Arial" w:hAnsi="Arial" w:cs="Arial"/>
          <w:sz w:val="20"/>
          <w:szCs w:val="20"/>
        </w:rPr>
      </w:pPr>
    </w:p>
    <w:p w14:paraId="4AE1C03C" w14:textId="77777777" w:rsidR="005A439E" w:rsidRPr="003928DE" w:rsidRDefault="005A439E" w:rsidP="005D7FD6">
      <w:pPr>
        <w:pStyle w:val="Heading1"/>
        <w:tabs>
          <w:tab w:val="left" w:pos="360"/>
        </w:tabs>
        <w:jc w:val="both"/>
        <w:rPr>
          <w:rFonts w:ascii="Arial" w:hAnsi="Arial" w:cs="Arial"/>
          <w:sz w:val="22"/>
          <w:szCs w:val="22"/>
        </w:rPr>
      </w:pPr>
      <w:r w:rsidRPr="003928DE">
        <w:rPr>
          <w:rFonts w:ascii="Arial" w:hAnsi="Arial" w:cs="Arial"/>
          <w:sz w:val="22"/>
          <w:szCs w:val="22"/>
        </w:rPr>
        <w:t>Office Locations</w:t>
      </w:r>
    </w:p>
    <w:p w14:paraId="519892B1" w14:textId="77777777" w:rsidR="005A439E" w:rsidRPr="003928DE" w:rsidRDefault="005A439E" w:rsidP="005D7FD6">
      <w:pPr>
        <w:pStyle w:val="Heading2"/>
        <w:jc w:val="both"/>
        <w:rPr>
          <w:rFonts w:ascii="Arial" w:hAnsi="Arial" w:cs="Arial"/>
          <w:sz w:val="22"/>
          <w:szCs w:val="22"/>
        </w:rPr>
      </w:pPr>
      <w:r w:rsidRPr="003928DE">
        <w:rPr>
          <w:rFonts w:ascii="Arial" w:hAnsi="Arial" w:cs="Arial"/>
          <w:sz w:val="22"/>
          <w:szCs w:val="22"/>
        </w:rPr>
        <w:t>Office Location #1</w:t>
      </w:r>
    </w:p>
    <w:p w14:paraId="6540626C" w14:textId="1C17217D" w:rsidR="005A439E" w:rsidRDefault="005A439E" w:rsidP="005D7FD6">
      <w:pPr>
        <w:ind w:left="720"/>
        <w:jc w:val="both"/>
        <w:rPr>
          <w:rFonts w:ascii="Arial" w:hAnsi="Arial" w:cs="Arial"/>
          <w:sz w:val="20"/>
          <w:szCs w:val="20"/>
        </w:rPr>
      </w:pPr>
      <w:r w:rsidRPr="003928DE">
        <w:rPr>
          <w:rFonts w:ascii="Arial" w:hAnsi="Arial" w:cs="Arial"/>
          <w:sz w:val="20"/>
          <w:szCs w:val="20"/>
        </w:rPr>
        <w:t xml:space="preserve">Our Location #1 Office is located at </w:t>
      </w:r>
      <w:r w:rsidR="000F148A">
        <w:rPr>
          <w:rFonts w:ascii="Arial" w:hAnsi="Arial" w:cs="Arial"/>
          <w:sz w:val="20"/>
          <w:szCs w:val="20"/>
        </w:rPr>
        <w:t>2916 Grand Canal,</w:t>
      </w:r>
      <w:r w:rsidR="00CB3863">
        <w:rPr>
          <w:rFonts w:ascii="Arial" w:hAnsi="Arial" w:cs="Arial"/>
          <w:sz w:val="20"/>
          <w:szCs w:val="20"/>
        </w:rPr>
        <w:t xml:space="preserve"> </w:t>
      </w:r>
      <w:r w:rsidR="000F148A">
        <w:rPr>
          <w:rFonts w:ascii="Arial" w:hAnsi="Arial" w:cs="Arial"/>
          <w:sz w:val="20"/>
          <w:szCs w:val="20"/>
        </w:rPr>
        <w:t>Venice</w:t>
      </w:r>
      <w:r w:rsidR="00CB3863">
        <w:rPr>
          <w:rFonts w:ascii="Arial" w:hAnsi="Arial" w:cs="Arial"/>
          <w:sz w:val="20"/>
          <w:szCs w:val="20"/>
        </w:rPr>
        <w:t xml:space="preserve"> CA 90</w:t>
      </w:r>
      <w:r w:rsidR="000F148A">
        <w:rPr>
          <w:rFonts w:ascii="Arial" w:hAnsi="Arial" w:cs="Arial"/>
          <w:sz w:val="20"/>
          <w:szCs w:val="20"/>
        </w:rPr>
        <w:t>291</w:t>
      </w:r>
      <w:r>
        <w:rPr>
          <w:rFonts w:ascii="Arial" w:hAnsi="Arial" w:cs="Arial"/>
          <w:sz w:val="20"/>
          <w:szCs w:val="20"/>
        </w:rPr>
        <w:t>.</w:t>
      </w:r>
      <w:r w:rsidRPr="003928DE">
        <w:rPr>
          <w:rFonts w:ascii="Arial" w:hAnsi="Arial" w:cs="Arial"/>
          <w:sz w:val="20"/>
          <w:szCs w:val="20"/>
        </w:rPr>
        <w:t xml:space="preserve">  Its main telephone number is </w:t>
      </w:r>
      <w:r w:rsidR="00CB3863">
        <w:rPr>
          <w:rFonts w:ascii="Arial" w:hAnsi="Arial" w:cs="Arial"/>
          <w:sz w:val="20"/>
          <w:szCs w:val="20"/>
        </w:rPr>
        <w:t>424-369-5143</w:t>
      </w:r>
      <w:r>
        <w:rPr>
          <w:rFonts w:ascii="Arial" w:hAnsi="Arial" w:cs="Arial"/>
          <w:sz w:val="20"/>
          <w:szCs w:val="20"/>
        </w:rPr>
        <w:t xml:space="preserve">. </w:t>
      </w:r>
      <w:r w:rsidRPr="003928DE">
        <w:rPr>
          <w:rFonts w:ascii="Arial" w:hAnsi="Arial" w:cs="Arial"/>
          <w:sz w:val="20"/>
          <w:szCs w:val="20"/>
        </w:rPr>
        <w:t xml:space="preserve"> Our employees may travel to that office by means of foot, car, subway, train, </w:t>
      </w:r>
      <w:r>
        <w:rPr>
          <w:rFonts w:ascii="Arial" w:hAnsi="Arial" w:cs="Arial"/>
          <w:sz w:val="20"/>
          <w:szCs w:val="20"/>
        </w:rPr>
        <w:t xml:space="preserve">and </w:t>
      </w:r>
      <w:r w:rsidRPr="003928DE">
        <w:rPr>
          <w:rFonts w:ascii="Arial" w:hAnsi="Arial" w:cs="Arial"/>
          <w:sz w:val="20"/>
          <w:szCs w:val="20"/>
        </w:rPr>
        <w:t>bus</w:t>
      </w:r>
      <w:r>
        <w:rPr>
          <w:rFonts w:ascii="Arial" w:hAnsi="Arial" w:cs="Arial"/>
          <w:sz w:val="20"/>
          <w:szCs w:val="20"/>
        </w:rPr>
        <w:t xml:space="preserve">. </w:t>
      </w:r>
      <w:r w:rsidRPr="003928DE">
        <w:rPr>
          <w:rFonts w:ascii="Arial" w:hAnsi="Arial" w:cs="Arial"/>
          <w:sz w:val="20"/>
          <w:szCs w:val="20"/>
        </w:rPr>
        <w:t xml:space="preserve"> </w:t>
      </w:r>
    </w:p>
    <w:p w14:paraId="720CA611" w14:textId="77777777" w:rsidR="005A439E" w:rsidRDefault="005A439E" w:rsidP="005D7FD6">
      <w:pPr>
        <w:ind w:left="720"/>
        <w:jc w:val="both"/>
        <w:rPr>
          <w:rFonts w:ascii="Arial" w:hAnsi="Arial" w:cs="Arial"/>
          <w:sz w:val="20"/>
          <w:szCs w:val="20"/>
        </w:rPr>
      </w:pPr>
    </w:p>
    <w:p w14:paraId="6A4BDC66" w14:textId="77777777" w:rsidR="005A439E" w:rsidRDefault="0064570B" w:rsidP="0001614E">
      <w:pPr>
        <w:pStyle w:val="Heading2"/>
        <w:jc w:val="both"/>
        <w:rPr>
          <w:rFonts w:ascii="Arial" w:hAnsi="Arial" w:cs="Arial"/>
          <w:sz w:val="22"/>
          <w:szCs w:val="22"/>
        </w:rPr>
      </w:pPr>
      <w:r>
        <w:rPr>
          <w:rFonts w:ascii="Arial" w:hAnsi="Arial" w:cs="Arial"/>
          <w:sz w:val="22"/>
          <w:szCs w:val="22"/>
        </w:rPr>
        <w:t>Office Location #2</w:t>
      </w:r>
    </w:p>
    <w:p w14:paraId="7B532991" w14:textId="77777777" w:rsidR="005A439E" w:rsidRDefault="005A439E" w:rsidP="0001614E">
      <w:pPr>
        <w:ind w:left="720"/>
        <w:jc w:val="both"/>
        <w:rPr>
          <w:rFonts w:ascii="Arial" w:hAnsi="Arial" w:cs="Arial"/>
          <w:sz w:val="20"/>
          <w:szCs w:val="20"/>
        </w:rPr>
      </w:pPr>
      <w:r w:rsidRPr="003928DE">
        <w:rPr>
          <w:rFonts w:ascii="Arial" w:hAnsi="Arial" w:cs="Arial"/>
          <w:sz w:val="20"/>
          <w:szCs w:val="20"/>
        </w:rPr>
        <w:t>Our Location #</w:t>
      </w:r>
      <w:r w:rsidR="0064570B">
        <w:rPr>
          <w:rFonts w:ascii="Arial" w:hAnsi="Arial" w:cs="Arial"/>
          <w:sz w:val="20"/>
          <w:szCs w:val="20"/>
        </w:rPr>
        <w:t>2</w:t>
      </w:r>
      <w:r w:rsidRPr="003928DE">
        <w:rPr>
          <w:rFonts w:ascii="Arial" w:hAnsi="Arial" w:cs="Arial"/>
          <w:sz w:val="20"/>
          <w:szCs w:val="20"/>
        </w:rPr>
        <w:t xml:space="preserve"> Office is located at </w:t>
      </w:r>
      <w:r w:rsidR="00CB3863">
        <w:rPr>
          <w:rFonts w:ascii="Arial" w:hAnsi="Arial" w:cs="Arial"/>
          <w:sz w:val="20"/>
          <w:szCs w:val="20"/>
        </w:rPr>
        <w:t>323 Beirut Ave,</w:t>
      </w:r>
      <w:r w:rsidR="0064570B">
        <w:rPr>
          <w:rFonts w:ascii="Arial" w:hAnsi="Arial" w:cs="Arial"/>
          <w:sz w:val="20"/>
          <w:szCs w:val="20"/>
        </w:rPr>
        <w:t xml:space="preserve"> Pacific Palisades CA 90272</w:t>
      </w:r>
      <w:r>
        <w:rPr>
          <w:rFonts w:ascii="Arial" w:hAnsi="Arial" w:cs="Arial"/>
          <w:sz w:val="20"/>
          <w:szCs w:val="20"/>
        </w:rPr>
        <w:t>.</w:t>
      </w:r>
      <w:r w:rsidRPr="003928DE">
        <w:rPr>
          <w:rFonts w:ascii="Arial" w:hAnsi="Arial" w:cs="Arial"/>
          <w:sz w:val="20"/>
          <w:szCs w:val="20"/>
        </w:rPr>
        <w:t xml:space="preserve">  Its main telephone number is </w:t>
      </w:r>
      <w:r w:rsidR="0064570B">
        <w:rPr>
          <w:rFonts w:ascii="Arial" w:hAnsi="Arial" w:cs="Arial"/>
          <w:sz w:val="20"/>
          <w:szCs w:val="20"/>
        </w:rPr>
        <w:t>(310) 454-5131</w:t>
      </w:r>
      <w:r>
        <w:rPr>
          <w:rFonts w:ascii="Arial" w:hAnsi="Arial" w:cs="Arial"/>
          <w:sz w:val="20"/>
          <w:szCs w:val="20"/>
        </w:rPr>
        <w:t xml:space="preserve">. </w:t>
      </w:r>
      <w:r w:rsidRPr="003928DE">
        <w:rPr>
          <w:rFonts w:ascii="Arial" w:hAnsi="Arial" w:cs="Arial"/>
          <w:sz w:val="20"/>
          <w:szCs w:val="20"/>
        </w:rPr>
        <w:t xml:space="preserve"> Our employees may travel to that office by means of foot, car, subway, train, </w:t>
      </w:r>
      <w:r>
        <w:rPr>
          <w:rFonts w:ascii="Arial" w:hAnsi="Arial" w:cs="Arial"/>
          <w:sz w:val="20"/>
          <w:szCs w:val="20"/>
        </w:rPr>
        <w:t xml:space="preserve">and </w:t>
      </w:r>
      <w:r w:rsidRPr="003928DE">
        <w:rPr>
          <w:rFonts w:ascii="Arial" w:hAnsi="Arial" w:cs="Arial"/>
          <w:sz w:val="20"/>
          <w:szCs w:val="20"/>
        </w:rPr>
        <w:t>bus</w:t>
      </w:r>
      <w:r>
        <w:rPr>
          <w:rFonts w:ascii="Arial" w:hAnsi="Arial" w:cs="Arial"/>
          <w:sz w:val="20"/>
          <w:szCs w:val="20"/>
        </w:rPr>
        <w:t>.</w:t>
      </w:r>
    </w:p>
    <w:p w14:paraId="406E8AD3" w14:textId="77777777" w:rsidR="005A439E" w:rsidRPr="00DF7560" w:rsidRDefault="005A439E" w:rsidP="005D7FD6">
      <w:pPr>
        <w:pStyle w:val="Heading2"/>
        <w:numPr>
          <w:ilvl w:val="0"/>
          <w:numId w:val="0"/>
        </w:numPr>
        <w:ind w:left="720"/>
        <w:jc w:val="both"/>
        <w:rPr>
          <w:rFonts w:ascii="Arial" w:hAnsi="Arial" w:cs="Arial"/>
          <w:sz w:val="20"/>
        </w:rPr>
      </w:pPr>
    </w:p>
    <w:p w14:paraId="6BD090E6" w14:textId="77777777" w:rsidR="005A439E" w:rsidRPr="00DF7560" w:rsidRDefault="005A439E" w:rsidP="005D7FD6">
      <w:pPr>
        <w:ind w:left="720"/>
        <w:jc w:val="both"/>
        <w:rPr>
          <w:rFonts w:ascii="Arial" w:hAnsi="Arial" w:cs="Arial"/>
          <w:sz w:val="20"/>
          <w:szCs w:val="20"/>
        </w:rPr>
      </w:pPr>
    </w:p>
    <w:p w14:paraId="3B53B600" w14:textId="77777777" w:rsidR="005A439E" w:rsidRPr="003928DE" w:rsidRDefault="005A439E" w:rsidP="005D7FD6">
      <w:pPr>
        <w:pStyle w:val="Heading1"/>
        <w:jc w:val="both"/>
        <w:rPr>
          <w:rFonts w:ascii="Arial" w:hAnsi="Arial" w:cs="Arial"/>
          <w:sz w:val="22"/>
          <w:szCs w:val="22"/>
        </w:rPr>
      </w:pPr>
      <w:r w:rsidRPr="003928DE">
        <w:rPr>
          <w:rFonts w:ascii="Arial" w:hAnsi="Arial" w:cs="Arial"/>
          <w:sz w:val="22"/>
          <w:szCs w:val="22"/>
        </w:rPr>
        <w:t>Alternative Physical Location(s) of Employees</w:t>
      </w:r>
    </w:p>
    <w:p w14:paraId="1579EDF4" w14:textId="77777777" w:rsidR="005A439E" w:rsidRPr="003928DE" w:rsidRDefault="005A439E" w:rsidP="00DF7560">
      <w:pPr>
        <w:jc w:val="both"/>
        <w:rPr>
          <w:rFonts w:ascii="Arial" w:hAnsi="Arial" w:cs="Arial"/>
          <w:sz w:val="20"/>
          <w:szCs w:val="20"/>
        </w:rPr>
      </w:pPr>
      <w:r w:rsidRPr="003928DE">
        <w:rPr>
          <w:rFonts w:ascii="Arial" w:hAnsi="Arial" w:cs="Arial"/>
          <w:sz w:val="20"/>
          <w:szCs w:val="20"/>
        </w:rPr>
        <w:t xml:space="preserve">In the event of an SBD, we will move our staff from affected offices to the closest of our unaffected office locations.  If none of our other office locations is available to receive those staff, we will move them to </w:t>
      </w:r>
      <w:r w:rsidR="00CB3863">
        <w:rPr>
          <w:rFonts w:ascii="Arial" w:hAnsi="Arial" w:cs="Arial"/>
          <w:sz w:val="20"/>
          <w:szCs w:val="20"/>
        </w:rPr>
        <w:t>323 Beirut Ave</w:t>
      </w:r>
      <w:r w:rsidR="0064570B">
        <w:rPr>
          <w:rFonts w:ascii="Arial" w:hAnsi="Arial" w:cs="Arial"/>
          <w:sz w:val="20"/>
          <w:szCs w:val="20"/>
        </w:rPr>
        <w:t xml:space="preserve"> Pacific Palisades CA 90272</w:t>
      </w:r>
      <w:r w:rsidRPr="003928DE">
        <w:rPr>
          <w:rFonts w:ascii="Arial" w:hAnsi="Arial" w:cs="Arial"/>
          <w:sz w:val="20"/>
          <w:szCs w:val="20"/>
        </w:rPr>
        <w:t xml:space="preserve">.  Its main telephone number is </w:t>
      </w:r>
      <w:r w:rsidR="0064570B">
        <w:rPr>
          <w:rFonts w:ascii="Arial" w:hAnsi="Arial" w:cs="Arial"/>
          <w:sz w:val="20"/>
          <w:szCs w:val="20"/>
        </w:rPr>
        <w:t>(310) 454-5131</w:t>
      </w:r>
      <w:r>
        <w:rPr>
          <w:rFonts w:ascii="Arial" w:hAnsi="Arial" w:cs="Arial"/>
          <w:sz w:val="20"/>
          <w:szCs w:val="20"/>
        </w:rPr>
        <w:t>.</w:t>
      </w:r>
      <w:r w:rsidRPr="003928DE">
        <w:rPr>
          <w:rFonts w:ascii="Arial" w:hAnsi="Arial" w:cs="Arial"/>
          <w:sz w:val="20"/>
          <w:szCs w:val="20"/>
        </w:rPr>
        <w:t xml:space="preserve">  </w:t>
      </w:r>
    </w:p>
    <w:p w14:paraId="01AA55DA" w14:textId="77777777" w:rsidR="005A439E" w:rsidRPr="003928DE" w:rsidRDefault="005A439E" w:rsidP="005D7FD6">
      <w:pPr>
        <w:jc w:val="both"/>
        <w:rPr>
          <w:rFonts w:ascii="Arial" w:hAnsi="Arial" w:cs="Arial"/>
          <w:sz w:val="20"/>
          <w:szCs w:val="20"/>
        </w:rPr>
      </w:pPr>
    </w:p>
    <w:p w14:paraId="7EAC461D" w14:textId="77777777" w:rsidR="005A439E" w:rsidRPr="003928DE" w:rsidRDefault="005A439E" w:rsidP="005D7FD6">
      <w:pPr>
        <w:jc w:val="both"/>
        <w:rPr>
          <w:rFonts w:ascii="Arial" w:hAnsi="Arial" w:cs="Arial"/>
          <w:sz w:val="20"/>
          <w:szCs w:val="20"/>
        </w:rPr>
      </w:pPr>
      <w:r w:rsidRPr="003928DE">
        <w:rPr>
          <w:rFonts w:ascii="Arial" w:hAnsi="Arial" w:cs="Arial"/>
          <w:i/>
          <w:sz w:val="20"/>
          <w:szCs w:val="20"/>
          <w:u w:val="single"/>
        </w:rPr>
        <w:t>Rule:</w:t>
      </w:r>
      <w:r w:rsidRPr="003928DE">
        <w:rPr>
          <w:rFonts w:ascii="Arial" w:hAnsi="Arial" w:cs="Arial"/>
          <w:i/>
          <w:sz w:val="20"/>
          <w:szCs w:val="20"/>
        </w:rPr>
        <w:t xml:space="preserve">  </w:t>
      </w:r>
      <w:r w:rsidR="00DE67B6">
        <w:rPr>
          <w:rFonts w:ascii="Arial" w:hAnsi="Arial" w:cs="Arial"/>
          <w:i/>
          <w:sz w:val="20"/>
          <w:szCs w:val="20"/>
        </w:rPr>
        <w:t>FINRA Rule 4370</w:t>
      </w:r>
      <w:r w:rsidRPr="003928DE">
        <w:rPr>
          <w:rFonts w:ascii="Arial" w:hAnsi="Arial" w:cs="Arial"/>
          <w:i/>
          <w:sz w:val="20"/>
          <w:szCs w:val="20"/>
        </w:rPr>
        <w:t>(c)(6).</w:t>
      </w:r>
    </w:p>
    <w:p w14:paraId="320AB009" w14:textId="77777777" w:rsidR="005A439E" w:rsidRDefault="005A439E" w:rsidP="005D7FD6">
      <w:pPr>
        <w:jc w:val="both"/>
        <w:rPr>
          <w:rFonts w:ascii="Arial" w:hAnsi="Arial" w:cs="Arial"/>
          <w:sz w:val="20"/>
          <w:szCs w:val="20"/>
        </w:rPr>
      </w:pPr>
    </w:p>
    <w:p w14:paraId="5F10250E" w14:textId="77777777" w:rsidR="005A439E" w:rsidRPr="003928DE" w:rsidRDefault="005A439E" w:rsidP="005D7FD6">
      <w:pPr>
        <w:jc w:val="both"/>
        <w:rPr>
          <w:rFonts w:ascii="Arial" w:hAnsi="Arial" w:cs="Arial"/>
          <w:sz w:val="20"/>
          <w:szCs w:val="20"/>
        </w:rPr>
      </w:pPr>
    </w:p>
    <w:p w14:paraId="096A777C" w14:textId="77777777" w:rsidR="005A439E" w:rsidRPr="003928DE" w:rsidRDefault="005A439E" w:rsidP="005D7FD6">
      <w:pPr>
        <w:pStyle w:val="Heading1"/>
        <w:tabs>
          <w:tab w:val="clear" w:pos="360"/>
        </w:tabs>
        <w:jc w:val="both"/>
        <w:rPr>
          <w:rFonts w:ascii="Arial" w:hAnsi="Arial" w:cs="Arial"/>
          <w:sz w:val="22"/>
          <w:szCs w:val="22"/>
        </w:rPr>
      </w:pPr>
      <w:r w:rsidRPr="003928DE">
        <w:rPr>
          <w:rFonts w:ascii="Arial" w:hAnsi="Arial" w:cs="Arial"/>
          <w:sz w:val="22"/>
          <w:szCs w:val="22"/>
        </w:rPr>
        <w:t xml:space="preserve"> Customers’ Access to Funds and Securities</w:t>
      </w:r>
    </w:p>
    <w:p w14:paraId="54768B04" w14:textId="77777777" w:rsidR="005A439E" w:rsidRPr="003928DE" w:rsidRDefault="005A439E" w:rsidP="005D7FD6">
      <w:pPr>
        <w:pStyle w:val="Header"/>
        <w:tabs>
          <w:tab w:val="clear" w:pos="4320"/>
          <w:tab w:val="clear" w:pos="8640"/>
        </w:tabs>
        <w:jc w:val="both"/>
        <w:rPr>
          <w:rFonts w:ascii="Arial" w:hAnsi="Arial" w:cs="Arial"/>
          <w:sz w:val="20"/>
          <w:szCs w:val="20"/>
        </w:rPr>
      </w:pPr>
    </w:p>
    <w:p w14:paraId="62BFF06B" w14:textId="77777777" w:rsidR="005A439E" w:rsidRDefault="005A439E" w:rsidP="00DF7560">
      <w:pPr>
        <w:tabs>
          <w:tab w:val="left" w:pos="8280"/>
        </w:tabs>
        <w:jc w:val="both"/>
        <w:rPr>
          <w:rFonts w:ascii="Arial" w:hAnsi="Arial" w:cs="Arial"/>
          <w:sz w:val="20"/>
          <w:szCs w:val="20"/>
        </w:rPr>
      </w:pPr>
      <w:r w:rsidRPr="003928DE">
        <w:rPr>
          <w:rFonts w:ascii="Arial" w:hAnsi="Arial" w:cs="Arial"/>
          <w:sz w:val="20"/>
          <w:szCs w:val="20"/>
        </w:rPr>
        <w:t xml:space="preserve">Our firm does not maintain custody of customers’ funds or securities, </w:t>
      </w:r>
      <w:r>
        <w:rPr>
          <w:rFonts w:ascii="Arial" w:hAnsi="Arial" w:cs="Arial"/>
          <w:sz w:val="20"/>
          <w:szCs w:val="20"/>
        </w:rPr>
        <w:t xml:space="preserve">as we have no retail customers.  The limited nature of our business, which consists exclusively as agent of </w:t>
      </w:r>
      <w:r w:rsidRPr="00532DAC">
        <w:rPr>
          <w:rFonts w:ascii="Arial" w:hAnsi="Arial" w:cs="Arial"/>
          <w:sz w:val="20"/>
          <w:szCs w:val="20"/>
        </w:rPr>
        <w:t>(1) Private Placements</w:t>
      </w:r>
      <w:r w:rsidR="00706AA0">
        <w:rPr>
          <w:rFonts w:ascii="Arial" w:hAnsi="Arial" w:cs="Arial"/>
          <w:sz w:val="20"/>
          <w:szCs w:val="20"/>
        </w:rPr>
        <w:t>.</w:t>
      </w:r>
      <w:r w:rsidRPr="00532DAC">
        <w:rPr>
          <w:rFonts w:ascii="Arial" w:hAnsi="Arial" w:cs="Arial"/>
          <w:sz w:val="20"/>
          <w:szCs w:val="20"/>
        </w:rPr>
        <w:t xml:space="preserve"> The Firm will also act as an </w:t>
      </w:r>
      <w:r w:rsidR="00706AA0">
        <w:rPr>
          <w:rFonts w:ascii="Arial" w:hAnsi="Arial" w:cs="Arial"/>
          <w:sz w:val="20"/>
          <w:szCs w:val="20"/>
        </w:rPr>
        <w:t>intermediary</w:t>
      </w:r>
      <w:r w:rsidR="00706AA0" w:rsidRPr="00532DAC">
        <w:rPr>
          <w:rFonts w:ascii="Arial" w:hAnsi="Arial" w:cs="Arial"/>
          <w:sz w:val="20"/>
          <w:szCs w:val="20"/>
        </w:rPr>
        <w:t xml:space="preserve"> </w:t>
      </w:r>
      <w:r w:rsidRPr="00532DAC">
        <w:rPr>
          <w:rFonts w:ascii="Arial" w:hAnsi="Arial" w:cs="Arial"/>
          <w:sz w:val="20"/>
          <w:szCs w:val="20"/>
        </w:rPr>
        <w:t>broker to investors to invest in Private Placements</w:t>
      </w:r>
      <w:r w:rsidR="00706AA0">
        <w:rPr>
          <w:rFonts w:ascii="Arial" w:hAnsi="Arial" w:cs="Arial"/>
          <w:sz w:val="20"/>
          <w:szCs w:val="20"/>
        </w:rPr>
        <w:t>.</w:t>
      </w:r>
      <w:r>
        <w:rPr>
          <w:rFonts w:ascii="Arial" w:hAnsi="Arial" w:cs="Arial"/>
          <w:sz w:val="20"/>
          <w:szCs w:val="20"/>
        </w:rPr>
        <w:t xml:space="preserve">  We cannot receive or hold any customer funds or securities, as this is not permitted under our exemption from SEC Rule 15c3-3. </w:t>
      </w:r>
      <w:r w:rsidRPr="001B3711">
        <w:rPr>
          <w:rFonts w:ascii="Arial" w:hAnsi="Arial" w:cs="Arial"/>
          <w:sz w:val="20"/>
          <w:szCs w:val="20"/>
        </w:rPr>
        <w:t xml:space="preserve">If our liabilities exceed our assets in violation of Securities Exchange Act Rule 15c3-1, we will notify the SEC, </w:t>
      </w:r>
      <w:r w:rsidR="00706AA0">
        <w:rPr>
          <w:rFonts w:ascii="Arial" w:hAnsi="Arial" w:cs="Arial"/>
          <w:sz w:val="20"/>
          <w:szCs w:val="20"/>
        </w:rPr>
        <w:t>FINRA</w:t>
      </w:r>
      <w:r w:rsidR="00706AA0" w:rsidRPr="001B3711">
        <w:rPr>
          <w:rFonts w:ascii="Arial" w:hAnsi="Arial" w:cs="Arial"/>
          <w:sz w:val="20"/>
          <w:szCs w:val="20"/>
        </w:rPr>
        <w:t xml:space="preserve"> </w:t>
      </w:r>
      <w:r w:rsidRPr="001B3711">
        <w:rPr>
          <w:rFonts w:ascii="Arial" w:hAnsi="Arial" w:cs="Arial"/>
          <w:sz w:val="20"/>
          <w:szCs w:val="20"/>
        </w:rPr>
        <w:t>and any other appropriate regulatory authorities, and provide our books and records if requested.</w:t>
      </w:r>
    </w:p>
    <w:p w14:paraId="78771C26" w14:textId="77777777" w:rsidR="005A439E" w:rsidRPr="003928DE" w:rsidRDefault="005A439E" w:rsidP="00DF7560">
      <w:pPr>
        <w:tabs>
          <w:tab w:val="left" w:pos="8280"/>
        </w:tabs>
        <w:jc w:val="both"/>
        <w:rPr>
          <w:rFonts w:ascii="Arial" w:hAnsi="Arial" w:cs="Arial"/>
          <w:sz w:val="20"/>
          <w:szCs w:val="20"/>
        </w:rPr>
      </w:pPr>
    </w:p>
    <w:p w14:paraId="0C7FD17F" w14:textId="77777777" w:rsidR="005A439E" w:rsidRPr="003928DE" w:rsidRDefault="005A439E" w:rsidP="005D7FD6">
      <w:pPr>
        <w:tabs>
          <w:tab w:val="left" w:pos="8280"/>
        </w:tabs>
        <w:jc w:val="both"/>
        <w:rPr>
          <w:rFonts w:ascii="Arial" w:hAnsi="Arial" w:cs="Arial"/>
          <w:sz w:val="20"/>
          <w:szCs w:val="20"/>
        </w:rPr>
      </w:pPr>
      <w:r w:rsidRPr="003928DE">
        <w:rPr>
          <w:rFonts w:ascii="Arial" w:hAnsi="Arial" w:cs="Arial"/>
          <w:i/>
          <w:sz w:val="20"/>
          <w:szCs w:val="20"/>
          <w:u w:val="single"/>
        </w:rPr>
        <w:t>Rules:</w:t>
      </w:r>
      <w:r w:rsidRPr="003928DE">
        <w:rPr>
          <w:rFonts w:ascii="Arial" w:hAnsi="Arial" w:cs="Arial"/>
          <w:i/>
          <w:sz w:val="20"/>
          <w:szCs w:val="20"/>
        </w:rPr>
        <w:t xml:space="preserve">  </w:t>
      </w:r>
      <w:r w:rsidR="00706AA0">
        <w:rPr>
          <w:rFonts w:ascii="Arial" w:hAnsi="Arial" w:cs="Arial"/>
          <w:i/>
          <w:sz w:val="20"/>
          <w:szCs w:val="20"/>
        </w:rPr>
        <w:t>FINRA Rule 4370</w:t>
      </w:r>
      <w:r w:rsidRPr="003928DE">
        <w:rPr>
          <w:rFonts w:ascii="Arial" w:hAnsi="Arial" w:cs="Arial"/>
          <w:i/>
          <w:sz w:val="20"/>
          <w:szCs w:val="20"/>
        </w:rPr>
        <w:t>(a);</w:t>
      </w:r>
      <w:r w:rsidRPr="003928DE">
        <w:rPr>
          <w:rFonts w:ascii="Arial" w:hAnsi="Arial" w:cs="Arial"/>
          <w:sz w:val="20"/>
          <w:szCs w:val="20"/>
        </w:rPr>
        <w:t xml:space="preserve"> Securities Exchange Act Rule 15c3-1;</w:t>
      </w:r>
      <w:r w:rsidRPr="003928DE">
        <w:rPr>
          <w:rFonts w:ascii="Arial" w:hAnsi="Arial" w:cs="Arial"/>
          <w:i/>
          <w:sz w:val="20"/>
          <w:szCs w:val="20"/>
        </w:rPr>
        <w:t xml:space="preserve"> </w:t>
      </w:r>
      <w:r w:rsidRPr="003928DE">
        <w:rPr>
          <w:rFonts w:ascii="Arial" w:hAnsi="Arial" w:cs="Arial"/>
          <w:bCs/>
          <w:sz w:val="20"/>
          <w:szCs w:val="20"/>
        </w:rPr>
        <w:t>15 U.S.C. 78eee (2003).</w:t>
      </w:r>
    </w:p>
    <w:p w14:paraId="1E94BA00" w14:textId="77777777" w:rsidR="005A439E" w:rsidRDefault="005A439E" w:rsidP="005D7FD6">
      <w:pPr>
        <w:jc w:val="both"/>
        <w:rPr>
          <w:rFonts w:ascii="Arial" w:hAnsi="Arial" w:cs="Arial"/>
          <w:sz w:val="20"/>
          <w:szCs w:val="20"/>
        </w:rPr>
      </w:pPr>
    </w:p>
    <w:p w14:paraId="4AB042B4" w14:textId="77777777" w:rsidR="005A439E" w:rsidRPr="003928DE" w:rsidRDefault="005A439E" w:rsidP="005D7FD6">
      <w:pPr>
        <w:jc w:val="both"/>
        <w:rPr>
          <w:rFonts w:ascii="Arial" w:hAnsi="Arial" w:cs="Arial"/>
          <w:sz w:val="20"/>
          <w:szCs w:val="20"/>
        </w:rPr>
      </w:pPr>
    </w:p>
    <w:p w14:paraId="66FBCFC6" w14:textId="77777777" w:rsidR="005A439E" w:rsidRPr="003928DE" w:rsidRDefault="005A439E" w:rsidP="005D7FD6">
      <w:pPr>
        <w:pStyle w:val="Heading1"/>
        <w:tabs>
          <w:tab w:val="clear" w:pos="360"/>
        </w:tabs>
        <w:jc w:val="both"/>
        <w:rPr>
          <w:rFonts w:ascii="Arial" w:hAnsi="Arial" w:cs="Arial"/>
          <w:sz w:val="22"/>
          <w:szCs w:val="22"/>
        </w:rPr>
      </w:pPr>
      <w:r w:rsidRPr="003928DE">
        <w:rPr>
          <w:rFonts w:ascii="Arial" w:hAnsi="Arial" w:cs="Arial"/>
          <w:sz w:val="22"/>
          <w:szCs w:val="22"/>
        </w:rPr>
        <w:t>Data Back-Up and Recovery (Hard Copy and Electronic)</w:t>
      </w:r>
    </w:p>
    <w:p w14:paraId="655EDDB5" w14:textId="77777777" w:rsidR="005A439E" w:rsidRPr="003928DE" w:rsidRDefault="005A439E" w:rsidP="005D7FD6">
      <w:pPr>
        <w:jc w:val="both"/>
        <w:rPr>
          <w:rFonts w:ascii="Arial" w:hAnsi="Arial" w:cs="Arial"/>
          <w:sz w:val="20"/>
          <w:szCs w:val="20"/>
        </w:rPr>
      </w:pPr>
    </w:p>
    <w:p w14:paraId="036C4F7C" w14:textId="77777777" w:rsidR="005A439E" w:rsidRPr="003928DE" w:rsidRDefault="005A439E" w:rsidP="005D7FD6">
      <w:pPr>
        <w:jc w:val="both"/>
        <w:rPr>
          <w:rFonts w:ascii="Arial" w:hAnsi="Arial" w:cs="Arial"/>
          <w:sz w:val="20"/>
          <w:szCs w:val="20"/>
        </w:rPr>
      </w:pPr>
      <w:r w:rsidRPr="003928DE">
        <w:rPr>
          <w:rFonts w:ascii="Arial" w:hAnsi="Arial" w:cs="Arial"/>
          <w:sz w:val="20"/>
          <w:szCs w:val="20"/>
        </w:rPr>
        <w:t xml:space="preserve">Our firm maintains its primary hard copy books and records and its electronic records at </w:t>
      </w:r>
      <w:r w:rsidR="00CB3863">
        <w:rPr>
          <w:rFonts w:ascii="Arial" w:hAnsi="Arial" w:cs="Arial"/>
          <w:sz w:val="20"/>
          <w:szCs w:val="20"/>
        </w:rPr>
        <w:t>2032 Armacost Ave, Los Angeles, CA 90025</w:t>
      </w:r>
      <w:r>
        <w:rPr>
          <w:rFonts w:ascii="Arial" w:hAnsi="Arial" w:cs="Arial"/>
          <w:sz w:val="20"/>
          <w:szCs w:val="20"/>
        </w:rPr>
        <w:t>.</w:t>
      </w:r>
      <w:r w:rsidR="00CB3863">
        <w:rPr>
          <w:rFonts w:ascii="Arial" w:hAnsi="Arial" w:cs="Arial"/>
          <w:sz w:val="20"/>
          <w:szCs w:val="20"/>
        </w:rPr>
        <w:t xml:space="preserve">  Mr. Wibbelsman, (310) 7738127</w:t>
      </w:r>
      <w:r w:rsidRPr="003928DE">
        <w:rPr>
          <w:rFonts w:ascii="Arial" w:hAnsi="Arial" w:cs="Arial"/>
          <w:sz w:val="20"/>
          <w:szCs w:val="20"/>
        </w:rPr>
        <w:t xml:space="preserve"> is responsible for the maintenance of these books and records.  Our firm maintains the following document types and forms:</w:t>
      </w:r>
    </w:p>
    <w:p w14:paraId="6D31FCA5" w14:textId="77777777" w:rsidR="005A439E" w:rsidRPr="003928DE" w:rsidRDefault="005A439E" w:rsidP="005D7FD6">
      <w:pPr>
        <w:jc w:val="both"/>
        <w:rPr>
          <w:rFonts w:ascii="Arial" w:hAnsi="Arial" w:cs="Arial"/>
          <w:sz w:val="20"/>
          <w:szCs w:val="20"/>
        </w:rPr>
      </w:pPr>
    </w:p>
    <w:p w14:paraId="31B6336A" w14:textId="77777777" w:rsidR="005A439E" w:rsidRPr="005B2556" w:rsidRDefault="005A439E" w:rsidP="005D7FD6">
      <w:pPr>
        <w:pStyle w:val="BodyText"/>
        <w:numPr>
          <w:ilvl w:val="0"/>
          <w:numId w:val="4"/>
        </w:numPr>
        <w:spacing w:after="120"/>
        <w:jc w:val="both"/>
        <w:rPr>
          <w:rFonts w:ascii="Arial" w:hAnsi="Arial" w:cs="Arial"/>
          <w:sz w:val="20"/>
        </w:rPr>
      </w:pPr>
      <w:r w:rsidRPr="005B2556">
        <w:rPr>
          <w:rFonts w:ascii="Arial" w:hAnsi="Arial" w:cs="Arial"/>
          <w:sz w:val="20"/>
        </w:rPr>
        <w:t>Corporate Financial Records</w:t>
      </w:r>
    </w:p>
    <w:p w14:paraId="35DF2B85" w14:textId="77777777" w:rsidR="005A439E" w:rsidRPr="005B2556" w:rsidRDefault="005A439E" w:rsidP="005D7FD6">
      <w:pPr>
        <w:pStyle w:val="BodyText"/>
        <w:numPr>
          <w:ilvl w:val="0"/>
          <w:numId w:val="4"/>
        </w:numPr>
        <w:spacing w:after="120"/>
        <w:jc w:val="both"/>
        <w:rPr>
          <w:rFonts w:ascii="Arial" w:hAnsi="Arial" w:cs="Arial"/>
          <w:sz w:val="20"/>
        </w:rPr>
      </w:pPr>
      <w:r w:rsidRPr="005B2556">
        <w:rPr>
          <w:rFonts w:ascii="Arial" w:hAnsi="Arial" w:cs="Arial"/>
          <w:sz w:val="20"/>
        </w:rPr>
        <w:t>Correspondence – both written and electronic</w:t>
      </w:r>
    </w:p>
    <w:p w14:paraId="4D956821" w14:textId="77777777" w:rsidR="005A439E" w:rsidRPr="005B2556" w:rsidRDefault="005A439E" w:rsidP="005D7FD6">
      <w:pPr>
        <w:pStyle w:val="BodyText"/>
        <w:numPr>
          <w:ilvl w:val="0"/>
          <w:numId w:val="4"/>
        </w:numPr>
        <w:spacing w:after="120"/>
        <w:jc w:val="both"/>
        <w:rPr>
          <w:rFonts w:ascii="Arial" w:hAnsi="Arial" w:cs="Arial"/>
          <w:sz w:val="20"/>
        </w:rPr>
      </w:pPr>
      <w:r w:rsidRPr="005B2556">
        <w:rPr>
          <w:rFonts w:ascii="Arial" w:hAnsi="Arial" w:cs="Arial"/>
          <w:sz w:val="20"/>
        </w:rPr>
        <w:t>Marketing Materials</w:t>
      </w:r>
    </w:p>
    <w:p w14:paraId="77C89985" w14:textId="77777777" w:rsidR="005A439E" w:rsidRPr="005B2556" w:rsidRDefault="005A439E" w:rsidP="005D7FD6">
      <w:pPr>
        <w:pStyle w:val="BodyText"/>
        <w:numPr>
          <w:ilvl w:val="0"/>
          <w:numId w:val="4"/>
        </w:numPr>
        <w:spacing w:after="120"/>
        <w:jc w:val="both"/>
        <w:rPr>
          <w:rFonts w:ascii="Arial" w:hAnsi="Arial" w:cs="Arial"/>
          <w:sz w:val="20"/>
        </w:rPr>
      </w:pPr>
      <w:r w:rsidRPr="005B2556">
        <w:rPr>
          <w:rFonts w:ascii="Arial" w:hAnsi="Arial" w:cs="Arial"/>
          <w:sz w:val="20"/>
        </w:rPr>
        <w:t>Engagement Letters and other contractual obligations</w:t>
      </w:r>
    </w:p>
    <w:p w14:paraId="65B673DB" w14:textId="77777777" w:rsidR="005A439E" w:rsidRPr="005B2556" w:rsidRDefault="005A439E" w:rsidP="005D7FD6">
      <w:pPr>
        <w:pStyle w:val="BodyText"/>
        <w:numPr>
          <w:ilvl w:val="0"/>
          <w:numId w:val="4"/>
        </w:numPr>
        <w:spacing w:after="120"/>
        <w:jc w:val="both"/>
        <w:rPr>
          <w:rFonts w:ascii="Arial" w:hAnsi="Arial" w:cs="Arial"/>
          <w:sz w:val="20"/>
        </w:rPr>
      </w:pPr>
      <w:r w:rsidRPr="005B2556">
        <w:rPr>
          <w:rFonts w:ascii="Arial" w:hAnsi="Arial" w:cs="Arial"/>
          <w:sz w:val="20"/>
        </w:rPr>
        <w:t>Subscription Agreement</w:t>
      </w:r>
      <w:r>
        <w:rPr>
          <w:rFonts w:ascii="Arial" w:hAnsi="Arial" w:cs="Arial"/>
          <w:sz w:val="20"/>
        </w:rPr>
        <w:t>s</w:t>
      </w:r>
    </w:p>
    <w:p w14:paraId="2387922B" w14:textId="77777777" w:rsidR="005A439E" w:rsidRPr="003928DE" w:rsidRDefault="005A439E" w:rsidP="005D7FD6">
      <w:pPr>
        <w:pStyle w:val="Header"/>
        <w:tabs>
          <w:tab w:val="clear" w:pos="4320"/>
          <w:tab w:val="clear" w:pos="8640"/>
        </w:tabs>
        <w:jc w:val="both"/>
        <w:rPr>
          <w:rFonts w:ascii="Arial" w:hAnsi="Arial" w:cs="Arial"/>
          <w:sz w:val="20"/>
          <w:szCs w:val="20"/>
        </w:rPr>
      </w:pPr>
    </w:p>
    <w:p w14:paraId="22FF4DE5" w14:textId="77777777" w:rsidR="005A439E" w:rsidRPr="003928DE" w:rsidRDefault="005A439E" w:rsidP="005D7FD6">
      <w:pPr>
        <w:jc w:val="both"/>
        <w:rPr>
          <w:rFonts w:ascii="Arial" w:hAnsi="Arial" w:cs="Arial"/>
          <w:sz w:val="20"/>
          <w:szCs w:val="20"/>
        </w:rPr>
      </w:pPr>
      <w:r w:rsidRPr="003928DE">
        <w:rPr>
          <w:rFonts w:ascii="Arial" w:hAnsi="Arial" w:cs="Arial"/>
          <w:sz w:val="20"/>
          <w:szCs w:val="20"/>
        </w:rPr>
        <w:t xml:space="preserve">Our firm maintains its back-up hard copy books and records at Firm’s main office.  These records consist of the firm’s internal accounting records, subscription agreements and </w:t>
      </w:r>
      <w:r w:rsidRPr="003928DE">
        <w:rPr>
          <w:rFonts w:ascii="Arial" w:hAnsi="Arial" w:cs="Arial"/>
          <w:iCs/>
          <w:sz w:val="20"/>
          <w:szCs w:val="20"/>
        </w:rPr>
        <w:t>paper</w:t>
      </w:r>
      <w:r w:rsidRPr="003928DE">
        <w:rPr>
          <w:rFonts w:ascii="Arial" w:hAnsi="Arial" w:cs="Arial"/>
          <w:sz w:val="20"/>
          <w:szCs w:val="20"/>
        </w:rPr>
        <w:t xml:space="preserve"> </w:t>
      </w:r>
      <w:r w:rsidRPr="003928DE">
        <w:rPr>
          <w:rFonts w:ascii="Arial" w:hAnsi="Arial" w:cs="Arial"/>
          <w:iCs/>
          <w:sz w:val="20"/>
          <w:szCs w:val="20"/>
        </w:rPr>
        <w:t xml:space="preserve">copies.  These records are also </w:t>
      </w:r>
      <w:r w:rsidRPr="003928DE">
        <w:rPr>
          <w:rFonts w:ascii="Arial" w:hAnsi="Arial" w:cs="Arial"/>
          <w:sz w:val="20"/>
          <w:szCs w:val="20"/>
        </w:rPr>
        <w:t xml:space="preserve">maintained at the backup site </w:t>
      </w:r>
      <w:r w:rsidR="00CB3863">
        <w:rPr>
          <w:rFonts w:ascii="Arial" w:hAnsi="Arial" w:cs="Arial"/>
          <w:sz w:val="20"/>
          <w:szCs w:val="20"/>
        </w:rPr>
        <w:t>323 Beirut Ave</w:t>
      </w:r>
      <w:r w:rsidR="0064570B">
        <w:rPr>
          <w:rFonts w:ascii="Arial" w:hAnsi="Arial" w:cs="Arial"/>
          <w:sz w:val="20"/>
          <w:szCs w:val="20"/>
        </w:rPr>
        <w:t>, Pacific Palisades CA 90272 (310) 454-5131</w:t>
      </w:r>
      <w:r w:rsidRPr="00BC6F04">
        <w:rPr>
          <w:rFonts w:ascii="Arial" w:hAnsi="Arial" w:cs="Arial"/>
          <w:sz w:val="20"/>
          <w:szCs w:val="20"/>
        </w:rPr>
        <w:t>, Mr. Wibbelsman is responsible for the maintenance</w:t>
      </w:r>
      <w:r w:rsidRPr="003928DE">
        <w:rPr>
          <w:rFonts w:ascii="Arial" w:hAnsi="Arial" w:cs="Arial"/>
          <w:sz w:val="20"/>
          <w:szCs w:val="20"/>
        </w:rPr>
        <w:t xml:space="preserve"> of these back-up books and records.  If </w:t>
      </w:r>
      <w:r>
        <w:rPr>
          <w:rFonts w:ascii="Arial" w:hAnsi="Arial" w:cs="Arial"/>
          <w:sz w:val="20"/>
          <w:szCs w:val="20"/>
        </w:rPr>
        <w:t xml:space="preserve">the Firm’s </w:t>
      </w:r>
      <w:r w:rsidRPr="003928DE">
        <w:rPr>
          <w:rFonts w:ascii="Arial" w:hAnsi="Arial" w:cs="Arial"/>
          <w:sz w:val="20"/>
          <w:szCs w:val="20"/>
        </w:rPr>
        <w:t>primary site is inoperable, we will continue operations from the back-up site or an alternative location.  For the loss of electronic records maintained at the Firm’s main office, we well physically recover the hard copy data from our primary site</w:t>
      </w:r>
    </w:p>
    <w:p w14:paraId="375C0E9A" w14:textId="77777777" w:rsidR="005A439E" w:rsidRPr="003928DE" w:rsidRDefault="005A439E" w:rsidP="005D7FD6">
      <w:pPr>
        <w:pStyle w:val="Header"/>
        <w:tabs>
          <w:tab w:val="clear" w:pos="4320"/>
          <w:tab w:val="clear" w:pos="8640"/>
        </w:tabs>
        <w:jc w:val="both"/>
        <w:rPr>
          <w:rFonts w:ascii="Arial" w:hAnsi="Arial" w:cs="Arial"/>
          <w:sz w:val="20"/>
          <w:szCs w:val="20"/>
        </w:rPr>
      </w:pPr>
    </w:p>
    <w:p w14:paraId="61A8FD90" w14:textId="77777777" w:rsidR="005A439E" w:rsidRPr="003928DE" w:rsidRDefault="005A439E" w:rsidP="005D7FD6">
      <w:pPr>
        <w:jc w:val="both"/>
        <w:rPr>
          <w:rFonts w:ascii="Arial" w:hAnsi="Arial" w:cs="Arial"/>
          <w:sz w:val="20"/>
          <w:szCs w:val="20"/>
        </w:rPr>
      </w:pPr>
      <w:r w:rsidRPr="003928DE">
        <w:rPr>
          <w:rFonts w:ascii="Arial" w:hAnsi="Arial" w:cs="Arial"/>
          <w:i/>
          <w:sz w:val="20"/>
          <w:szCs w:val="20"/>
          <w:u w:val="single"/>
        </w:rPr>
        <w:t>Rule:</w:t>
      </w:r>
      <w:r w:rsidRPr="003928DE">
        <w:rPr>
          <w:rFonts w:ascii="Arial" w:hAnsi="Arial" w:cs="Arial"/>
          <w:i/>
          <w:sz w:val="20"/>
          <w:szCs w:val="20"/>
        </w:rPr>
        <w:t xml:space="preserve">  </w:t>
      </w:r>
      <w:r w:rsidR="00706AA0">
        <w:rPr>
          <w:rFonts w:ascii="Arial" w:hAnsi="Arial" w:cs="Arial"/>
          <w:i/>
          <w:sz w:val="20"/>
          <w:szCs w:val="20"/>
        </w:rPr>
        <w:t>FINRA Rule 4370</w:t>
      </w:r>
      <w:r w:rsidRPr="003928DE">
        <w:rPr>
          <w:rFonts w:ascii="Arial" w:hAnsi="Arial" w:cs="Arial"/>
          <w:i/>
          <w:sz w:val="20"/>
          <w:szCs w:val="20"/>
        </w:rPr>
        <w:t>(c)(1).</w:t>
      </w:r>
    </w:p>
    <w:p w14:paraId="2B14726D" w14:textId="77777777" w:rsidR="005A439E" w:rsidRDefault="005A439E" w:rsidP="005D7FD6">
      <w:pPr>
        <w:jc w:val="both"/>
        <w:rPr>
          <w:rFonts w:ascii="Arial" w:hAnsi="Arial" w:cs="Arial"/>
          <w:i/>
          <w:sz w:val="20"/>
          <w:szCs w:val="20"/>
          <w:u w:val="single"/>
        </w:rPr>
      </w:pPr>
    </w:p>
    <w:p w14:paraId="4A7695C4" w14:textId="77777777" w:rsidR="005A439E" w:rsidRPr="003928DE" w:rsidRDefault="005A439E" w:rsidP="005D7FD6">
      <w:pPr>
        <w:jc w:val="both"/>
        <w:rPr>
          <w:rFonts w:ascii="Arial" w:hAnsi="Arial" w:cs="Arial"/>
          <w:i/>
          <w:sz w:val="20"/>
          <w:szCs w:val="20"/>
          <w:u w:val="single"/>
        </w:rPr>
      </w:pPr>
    </w:p>
    <w:p w14:paraId="425C55B2" w14:textId="77777777" w:rsidR="005A439E" w:rsidRPr="003928DE" w:rsidRDefault="005A439E" w:rsidP="005D7FD6">
      <w:pPr>
        <w:pStyle w:val="Heading1"/>
        <w:tabs>
          <w:tab w:val="clear" w:pos="360"/>
        </w:tabs>
        <w:jc w:val="both"/>
        <w:rPr>
          <w:rFonts w:ascii="Arial" w:hAnsi="Arial" w:cs="Arial"/>
          <w:sz w:val="22"/>
          <w:szCs w:val="22"/>
        </w:rPr>
      </w:pPr>
      <w:r w:rsidRPr="003928DE">
        <w:rPr>
          <w:rFonts w:ascii="Arial" w:hAnsi="Arial" w:cs="Arial"/>
          <w:sz w:val="22"/>
          <w:szCs w:val="22"/>
        </w:rPr>
        <w:t xml:space="preserve">Financial and Operational Assessments </w:t>
      </w:r>
    </w:p>
    <w:p w14:paraId="6B50712B" w14:textId="77777777" w:rsidR="005A439E" w:rsidRPr="003928DE" w:rsidRDefault="005A439E" w:rsidP="005D7FD6">
      <w:pPr>
        <w:jc w:val="both"/>
        <w:rPr>
          <w:rFonts w:ascii="Arial" w:hAnsi="Arial" w:cs="Arial"/>
          <w:sz w:val="20"/>
          <w:szCs w:val="20"/>
        </w:rPr>
      </w:pPr>
    </w:p>
    <w:p w14:paraId="081260DB" w14:textId="77777777" w:rsidR="005A439E" w:rsidRPr="003928DE" w:rsidRDefault="005A439E" w:rsidP="005D7FD6">
      <w:pPr>
        <w:pStyle w:val="Heading2"/>
        <w:jc w:val="both"/>
        <w:rPr>
          <w:rFonts w:ascii="Arial" w:hAnsi="Arial" w:cs="Arial"/>
          <w:sz w:val="20"/>
        </w:rPr>
      </w:pPr>
      <w:r w:rsidRPr="003928DE">
        <w:rPr>
          <w:rFonts w:ascii="Arial" w:hAnsi="Arial" w:cs="Arial"/>
          <w:sz w:val="20"/>
        </w:rPr>
        <w:t>Operational Risk</w:t>
      </w:r>
    </w:p>
    <w:p w14:paraId="441A6A21" w14:textId="77777777" w:rsidR="005A439E" w:rsidRPr="003928DE" w:rsidRDefault="005A439E" w:rsidP="005D7FD6">
      <w:pPr>
        <w:jc w:val="both"/>
        <w:rPr>
          <w:rFonts w:ascii="Arial" w:hAnsi="Arial" w:cs="Arial"/>
          <w:color w:val="000000"/>
          <w:sz w:val="20"/>
          <w:szCs w:val="20"/>
        </w:rPr>
      </w:pPr>
    </w:p>
    <w:p w14:paraId="44665326" w14:textId="77777777" w:rsidR="005A439E" w:rsidRDefault="005A439E" w:rsidP="005D7FD6">
      <w:pPr>
        <w:ind w:left="720"/>
        <w:jc w:val="both"/>
        <w:rPr>
          <w:rFonts w:ascii="Arial" w:hAnsi="Arial" w:cs="Arial"/>
          <w:sz w:val="20"/>
          <w:szCs w:val="20"/>
        </w:rPr>
      </w:pPr>
      <w:r w:rsidRPr="003928DE">
        <w:rPr>
          <w:rFonts w:ascii="Arial" w:hAnsi="Arial" w:cs="Arial"/>
          <w:color w:val="000000"/>
          <w:sz w:val="20"/>
          <w:szCs w:val="20"/>
        </w:rPr>
        <w:t xml:space="preserve">In the event of an SBD, we will immediately identify what means will permit us to communicate with our customers, employees, critical business constituents, critical banks, critical counter-parties, and regulators.  Although the effects of an SBD will determine the means of alternative communication, the communications options we will employ will include </w:t>
      </w:r>
      <w:r w:rsidRPr="002750E3">
        <w:rPr>
          <w:rFonts w:ascii="Arial" w:hAnsi="Arial" w:cs="Arial"/>
          <w:iCs/>
          <w:color w:val="000000"/>
          <w:sz w:val="20"/>
          <w:szCs w:val="20"/>
        </w:rPr>
        <w:t>our Web site</w:t>
      </w:r>
      <w:r>
        <w:rPr>
          <w:rFonts w:ascii="Arial" w:hAnsi="Arial" w:cs="Arial"/>
          <w:iCs/>
          <w:color w:val="000000"/>
          <w:sz w:val="20"/>
          <w:szCs w:val="20"/>
        </w:rPr>
        <w:t xml:space="preserve"> (</w:t>
      </w:r>
      <w:hyperlink r:id="rId7" w:history="1">
        <w:r w:rsidRPr="004B6091">
          <w:rPr>
            <w:rStyle w:val="Hyperlink"/>
            <w:rFonts w:ascii="Arial" w:hAnsi="Arial" w:cs="Arial"/>
            <w:iCs/>
            <w:sz w:val="20"/>
            <w:szCs w:val="20"/>
          </w:rPr>
          <w:t>http://www.tripleapartnersllc.net/</w:t>
        </w:r>
      </w:hyperlink>
      <w:r>
        <w:rPr>
          <w:rFonts w:ascii="Arial" w:hAnsi="Arial" w:cs="Arial"/>
          <w:iCs/>
          <w:color w:val="000000"/>
          <w:sz w:val="20"/>
          <w:szCs w:val="20"/>
        </w:rPr>
        <w:t xml:space="preserve">), </w:t>
      </w:r>
      <w:r w:rsidRPr="002750E3">
        <w:rPr>
          <w:rFonts w:ascii="Arial" w:hAnsi="Arial" w:cs="Arial"/>
          <w:iCs/>
          <w:color w:val="000000"/>
          <w:sz w:val="20"/>
          <w:szCs w:val="20"/>
        </w:rPr>
        <w:t>telephone</w:t>
      </w:r>
      <w:r>
        <w:rPr>
          <w:rFonts w:ascii="Arial" w:hAnsi="Arial" w:cs="Arial"/>
          <w:iCs/>
          <w:color w:val="000000"/>
          <w:sz w:val="20"/>
          <w:szCs w:val="20"/>
        </w:rPr>
        <w:t xml:space="preserve"> voice mail, secure e-mail.  </w:t>
      </w:r>
      <w:r w:rsidRPr="003928DE">
        <w:rPr>
          <w:rFonts w:ascii="Arial" w:hAnsi="Arial" w:cs="Arial"/>
          <w:color w:val="000000"/>
          <w:sz w:val="20"/>
          <w:szCs w:val="20"/>
        </w:rPr>
        <w:t xml:space="preserve">In addition, we will retrieve our key activity records as described in the section </w:t>
      </w:r>
      <w:r w:rsidRPr="003928DE">
        <w:rPr>
          <w:rFonts w:ascii="Arial" w:hAnsi="Arial" w:cs="Arial"/>
          <w:sz w:val="20"/>
          <w:szCs w:val="20"/>
        </w:rPr>
        <w:t xml:space="preserve">above, Data Back-Up and Recovery </w:t>
      </w:r>
      <w:r w:rsidRPr="002750E3">
        <w:rPr>
          <w:rFonts w:ascii="Arial" w:hAnsi="Arial" w:cs="Arial"/>
          <w:sz w:val="20"/>
          <w:szCs w:val="20"/>
        </w:rPr>
        <w:t>(Hard Copy and Electronic).</w:t>
      </w:r>
    </w:p>
    <w:p w14:paraId="2490A682" w14:textId="77777777" w:rsidR="005A439E" w:rsidRDefault="005A439E" w:rsidP="005D7FD6">
      <w:pPr>
        <w:ind w:left="720"/>
        <w:jc w:val="both"/>
        <w:rPr>
          <w:rFonts w:ascii="Arial" w:hAnsi="Arial" w:cs="Arial"/>
          <w:sz w:val="20"/>
          <w:szCs w:val="20"/>
        </w:rPr>
      </w:pPr>
    </w:p>
    <w:p w14:paraId="5C508A90" w14:textId="77777777" w:rsidR="005A439E" w:rsidRPr="004D7B8E" w:rsidRDefault="005A439E" w:rsidP="005D7FD6">
      <w:pPr>
        <w:ind w:left="720"/>
        <w:jc w:val="both"/>
        <w:rPr>
          <w:rFonts w:ascii="Arial" w:hAnsi="Arial" w:cs="Arial"/>
          <w:i/>
          <w:iCs/>
          <w:color w:val="000000"/>
          <w:sz w:val="20"/>
          <w:szCs w:val="20"/>
        </w:rPr>
      </w:pPr>
      <w:bookmarkStart w:id="0" w:name="OLE_LINK4"/>
      <w:bookmarkStart w:id="1" w:name="OLE_LINK5"/>
      <w:r w:rsidRPr="004D7B8E">
        <w:rPr>
          <w:rFonts w:ascii="Arial" w:hAnsi="Arial" w:cs="Arial"/>
          <w:sz w:val="20"/>
          <w:szCs w:val="20"/>
        </w:rPr>
        <w:t xml:space="preserve">The financial and operational risks in the event of an internal SBD are not great.  The firm’s assets are substantially all allowable, as defined by </w:t>
      </w:r>
      <w:smartTag w:uri="urn:schemas-microsoft-com:office:smarttags" w:element="PostalCode">
        <w:r w:rsidRPr="004D7B8E">
          <w:rPr>
            <w:rFonts w:ascii="Arial" w:hAnsi="Arial" w:cs="Arial"/>
            <w:sz w:val="20"/>
            <w:szCs w:val="20"/>
          </w:rPr>
          <w:t>SEC</w:t>
        </w:r>
      </w:smartTag>
      <w:r w:rsidRPr="004D7B8E">
        <w:rPr>
          <w:rFonts w:ascii="Arial" w:hAnsi="Arial" w:cs="Arial"/>
          <w:sz w:val="20"/>
          <w:szCs w:val="20"/>
        </w:rPr>
        <w:t xml:space="preserve"> Rule 15c3-1 and consist of cash in FDIC insured bank accounts.  The internal </w:t>
      </w:r>
      <w:smartTag w:uri="urn:schemas-microsoft-com:office:smarttags" w:element="PostalCode">
        <w:r w:rsidRPr="004D7B8E">
          <w:rPr>
            <w:rFonts w:ascii="Arial" w:hAnsi="Arial" w:cs="Arial"/>
            <w:sz w:val="20"/>
            <w:szCs w:val="20"/>
          </w:rPr>
          <w:t>accounting</w:t>
        </w:r>
      </w:smartTag>
      <w:r w:rsidRPr="004D7B8E">
        <w:rPr>
          <w:rFonts w:ascii="Arial" w:hAnsi="Arial" w:cs="Arial"/>
          <w:sz w:val="20"/>
          <w:szCs w:val="20"/>
        </w:rPr>
        <w:t xml:space="preserve"> records needed to maintain the business are located offsite.  We do not foresee that an internal SBD would significantly impair its ability to conduct business from a financial or operational standpoint.  </w:t>
      </w:r>
      <w:r>
        <w:rPr>
          <w:rFonts w:ascii="Arial" w:hAnsi="Arial" w:cs="Arial"/>
          <w:sz w:val="20"/>
          <w:szCs w:val="20"/>
        </w:rPr>
        <w:t>This information will be reviewed and the BCP amended as necessary on an annual basis or at any time that circumstances dictate.</w:t>
      </w:r>
    </w:p>
    <w:bookmarkEnd w:id="0"/>
    <w:bookmarkEnd w:id="1"/>
    <w:p w14:paraId="18E09F24" w14:textId="77777777" w:rsidR="005A439E" w:rsidRPr="003928DE" w:rsidRDefault="005A439E" w:rsidP="005D7FD6">
      <w:pPr>
        <w:jc w:val="both"/>
        <w:rPr>
          <w:rFonts w:ascii="Arial" w:hAnsi="Arial" w:cs="Arial"/>
          <w:sz w:val="20"/>
          <w:szCs w:val="20"/>
        </w:rPr>
      </w:pPr>
    </w:p>
    <w:p w14:paraId="7C45DFF9" w14:textId="77777777" w:rsidR="005A439E" w:rsidRPr="00A862DE" w:rsidRDefault="005A439E" w:rsidP="005D7FD6">
      <w:pPr>
        <w:ind w:firstLine="720"/>
        <w:jc w:val="both"/>
        <w:rPr>
          <w:rFonts w:ascii="Arial" w:hAnsi="Arial" w:cs="Arial"/>
          <w:i/>
          <w:color w:val="000000"/>
          <w:sz w:val="20"/>
          <w:szCs w:val="20"/>
        </w:rPr>
      </w:pPr>
      <w:r w:rsidRPr="003928DE">
        <w:rPr>
          <w:rFonts w:ascii="Arial" w:hAnsi="Arial" w:cs="Arial"/>
          <w:i/>
          <w:sz w:val="20"/>
          <w:szCs w:val="20"/>
          <w:u w:val="single"/>
        </w:rPr>
        <w:t>Rules:</w:t>
      </w:r>
      <w:r w:rsidRPr="003928DE">
        <w:rPr>
          <w:rFonts w:ascii="Arial" w:hAnsi="Arial" w:cs="Arial"/>
          <w:i/>
          <w:sz w:val="20"/>
          <w:szCs w:val="20"/>
        </w:rPr>
        <w:t xml:space="preserve">  </w:t>
      </w:r>
      <w:r w:rsidR="00706AA0">
        <w:rPr>
          <w:rFonts w:ascii="Arial" w:hAnsi="Arial" w:cs="Arial"/>
          <w:i/>
          <w:sz w:val="20"/>
          <w:szCs w:val="20"/>
        </w:rPr>
        <w:t xml:space="preserve">FINRA Rule 4370 </w:t>
      </w:r>
      <w:r w:rsidRPr="003928DE">
        <w:rPr>
          <w:rFonts w:ascii="Arial" w:hAnsi="Arial" w:cs="Arial"/>
          <w:i/>
          <w:sz w:val="20"/>
          <w:szCs w:val="20"/>
        </w:rPr>
        <w:t>(c)(3) &amp; (f)(2)</w:t>
      </w:r>
      <w:r>
        <w:rPr>
          <w:rFonts w:ascii="Arial" w:hAnsi="Arial" w:cs="Arial"/>
          <w:i/>
          <w:sz w:val="20"/>
          <w:szCs w:val="20"/>
        </w:rPr>
        <w:t xml:space="preserve">; </w:t>
      </w:r>
      <w:r w:rsidRPr="00A862DE">
        <w:rPr>
          <w:rFonts w:ascii="Arial" w:hAnsi="Arial" w:cs="Arial"/>
          <w:i/>
          <w:sz w:val="20"/>
          <w:szCs w:val="20"/>
        </w:rPr>
        <w:t>Securities Exchange Act Rule 15c3-1.</w:t>
      </w:r>
    </w:p>
    <w:p w14:paraId="1FAE40A1" w14:textId="77777777" w:rsidR="005A439E" w:rsidRPr="00A862DE" w:rsidRDefault="005A439E" w:rsidP="005D7FD6">
      <w:pPr>
        <w:jc w:val="both"/>
        <w:rPr>
          <w:rFonts w:ascii="Arial" w:hAnsi="Arial" w:cs="Arial"/>
          <w:i/>
          <w:color w:val="000000"/>
          <w:sz w:val="20"/>
          <w:szCs w:val="20"/>
        </w:rPr>
      </w:pPr>
    </w:p>
    <w:p w14:paraId="7AF22CFD" w14:textId="77777777" w:rsidR="005A439E" w:rsidRPr="003928DE" w:rsidRDefault="005A439E" w:rsidP="005D7FD6">
      <w:pPr>
        <w:pStyle w:val="Heading2"/>
        <w:jc w:val="both"/>
        <w:rPr>
          <w:rFonts w:ascii="Arial" w:hAnsi="Arial" w:cs="Arial"/>
          <w:sz w:val="22"/>
          <w:szCs w:val="22"/>
        </w:rPr>
      </w:pPr>
      <w:r w:rsidRPr="003928DE">
        <w:rPr>
          <w:rFonts w:ascii="Arial" w:hAnsi="Arial" w:cs="Arial"/>
          <w:sz w:val="22"/>
          <w:szCs w:val="22"/>
        </w:rPr>
        <w:t>Financial and Credit Risk</w:t>
      </w:r>
    </w:p>
    <w:p w14:paraId="37B4D135" w14:textId="77777777" w:rsidR="005A439E" w:rsidRPr="003928DE" w:rsidRDefault="005A439E" w:rsidP="005D7FD6">
      <w:pPr>
        <w:jc w:val="both"/>
        <w:rPr>
          <w:rFonts w:ascii="Arial" w:hAnsi="Arial" w:cs="Arial"/>
          <w:b/>
          <w:bCs/>
          <w:color w:val="000000"/>
          <w:sz w:val="20"/>
          <w:szCs w:val="20"/>
        </w:rPr>
      </w:pPr>
    </w:p>
    <w:p w14:paraId="2ECABC4A" w14:textId="77777777" w:rsidR="005A439E" w:rsidRPr="003928DE" w:rsidRDefault="005A439E" w:rsidP="005D7FD6">
      <w:pPr>
        <w:ind w:left="720"/>
        <w:jc w:val="both"/>
        <w:rPr>
          <w:rFonts w:ascii="Arial" w:hAnsi="Arial" w:cs="Arial"/>
          <w:color w:val="000000"/>
          <w:sz w:val="20"/>
          <w:szCs w:val="20"/>
        </w:rPr>
      </w:pPr>
      <w:r w:rsidRPr="003928DE">
        <w:rPr>
          <w:rFonts w:ascii="Arial" w:hAnsi="Arial" w:cs="Arial"/>
          <w:color w:val="000000"/>
          <w:sz w:val="20"/>
          <w:szCs w:val="20"/>
        </w:rPr>
        <w:t xml:space="preserve">In the event of an SBD, we will determine the value and liquidity of our investments and other assets to evaluate our ability to continue to fund our operations and remain in capital compliance.  We will contact our clearing firm, critical banks, and investors to apprise them of our financial status.  If we determine that we may be unable to meet our obligations to those counter-parties or otherwise continue to fund our operations, we will request additional financing from our bank or other credit sources to fulfill our obligations to our customers and clients.  If we cannot remedy a capital deficiency, we will file appropriate notices with our regulators and immediately take appropriate steps, </w:t>
      </w:r>
      <w:r>
        <w:rPr>
          <w:rFonts w:ascii="Arial" w:hAnsi="Arial" w:cs="Arial"/>
          <w:color w:val="000000"/>
          <w:sz w:val="20"/>
          <w:szCs w:val="20"/>
        </w:rPr>
        <w:t>including infusion of capital from its parent company Triple A Capital Inc.</w:t>
      </w:r>
    </w:p>
    <w:p w14:paraId="32A63B26" w14:textId="77777777" w:rsidR="005A439E" w:rsidRPr="003928DE" w:rsidRDefault="005A439E" w:rsidP="005D7FD6">
      <w:pPr>
        <w:jc w:val="both"/>
        <w:rPr>
          <w:rFonts w:ascii="Arial" w:hAnsi="Arial" w:cs="Arial"/>
          <w:color w:val="000000"/>
          <w:sz w:val="20"/>
          <w:szCs w:val="20"/>
        </w:rPr>
      </w:pPr>
    </w:p>
    <w:p w14:paraId="2E37F999" w14:textId="77777777" w:rsidR="005A439E" w:rsidRDefault="005A439E" w:rsidP="005D7FD6">
      <w:pPr>
        <w:ind w:firstLine="720"/>
        <w:jc w:val="both"/>
        <w:rPr>
          <w:rFonts w:ascii="Arial" w:hAnsi="Arial" w:cs="Arial"/>
          <w:i/>
          <w:sz w:val="20"/>
          <w:szCs w:val="20"/>
        </w:rPr>
      </w:pPr>
      <w:r w:rsidRPr="003928DE">
        <w:rPr>
          <w:rFonts w:ascii="Arial" w:hAnsi="Arial" w:cs="Arial"/>
          <w:i/>
          <w:sz w:val="20"/>
          <w:szCs w:val="20"/>
          <w:u w:val="single"/>
        </w:rPr>
        <w:t>Rules:</w:t>
      </w:r>
      <w:r w:rsidRPr="003928DE">
        <w:rPr>
          <w:rFonts w:ascii="Arial" w:hAnsi="Arial" w:cs="Arial"/>
          <w:i/>
          <w:sz w:val="20"/>
          <w:szCs w:val="20"/>
        </w:rPr>
        <w:t xml:space="preserve">  </w:t>
      </w:r>
      <w:r w:rsidR="00706AA0">
        <w:rPr>
          <w:rFonts w:ascii="Arial" w:hAnsi="Arial" w:cs="Arial"/>
          <w:i/>
          <w:sz w:val="20"/>
          <w:szCs w:val="20"/>
        </w:rPr>
        <w:t xml:space="preserve">FINRA Rule 4370 </w:t>
      </w:r>
      <w:r w:rsidRPr="003928DE">
        <w:rPr>
          <w:rFonts w:ascii="Arial" w:hAnsi="Arial" w:cs="Arial"/>
          <w:i/>
          <w:sz w:val="20"/>
          <w:szCs w:val="20"/>
        </w:rPr>
        <w:t>(c)(3), (c)(8) &amp; (f)(2).</w:t>
      </w:r>
    </w:p>
    <w:p w14:paraId="346F1F6D" w14:textId="77777777" w:rsidR="00284ABA" w:rsidRDefault="00284ABA" w:rsidP="005D7FD6">
      <w:pPr>
        <w:ind w:firstLine="720"/>
        <w:jc w:val="both"/>
        <w:rPr>
          <w:rFonts w:ascii="Arial" w:hAnsi="Arial" w:cs="Arial"/>
          <w:color w:val="000000"/>
          <w:sz w:val="20"/>
          <w:szCs w:val="20"/>
        </w:rPr>
      </w:pPr>
    </w:p>
    <w:p w14:paraId="26155EF5" w14:textId="77777777" w:rsidR="00284ABA" w:rsidRDefault="00284ABA" w:rsidP="005D7FD6">
      <w:pPr>
        <w:ind w:firstLine="720"/>
        <w:jc w:val="both"/>
        <w:rPr>
          <w:rFonts w:ascii="Arial" w:hAnsi="Arial" w:cs="Arial"/>
          <w:color w:val="000000"/>
          <w:sz w:val="20"/>
          <w:szCs w:val="20"/>
        </w:rPr>
      </w:pPr>
    </w:p>
    <w:p w14:paraId="1CE8A5FD" w14:textId="77777777" w:rsidR="00284ABA" w:rsidRDefault="00284ABA" w:rsidP="005D7FD6">
      <w:pPr>
        <w:ind w:firstLine="720"/>
        <w:jc w:val="both"/>
        <w:rPr>
          <w:rFonts w:ascii="Arial" w:hAnsi="Arial" w:cs="Arial"/>
          <w:color w:val="000000"/>
          <w:sz w:val="20"/>
          <w:szCs w:val="20"/>
        </w:rPr>
      </w:pPr>
    </w:p>
    <w:p w14:paraId="24348B3E" w14:textId="77777777" w:rsidR="00284ABA" w:rsidRPr="003928DE" w:rsidRDefault="00284ABA" w:rsidP="005D7FD6">
      <w:pPr>
        <w:ind w:firstLine="720"/>
        <w:jc w:val="both"/>
        <w:rPr>
          <w:rFonts w:ascii="Arial" w:hAnsi="Arial" w:cs="Arial"/>
          <w:color w:val="000000"/>
          <w:sz w:val="20"/>
          <w:szCs w:val="20"/>
        </w:rPr>
      </w:pPr>
    </w:p>
    <w:p w14:paraId="0ECE8312" w14:textId="77777777" w:rsidR="005A439E" w:rsidRDefault="005A439E" w:rsidP="005D7FD6">
      <w:pPr>
        <w:jc w:val="both"/>
        <w:rPr>
          <w:rFonts w:ascii="Arial" w:hAnsi="Arial" w:cs="Arial"/>
          <w:i/>
          <w:sz w:val="20"/>
          <w:szCs w:val="20"/>
        </w:rPr>
      </w:pPr>
    </w:p>
    <w:p w14:paraId="23871033" w14:textId="77777777" w:rsidR="005A439E" w:rsidRPr="003928DE" w:rsidRDefault="005A439E" w:rsidP="005D7FD6">
      <w:pPr>
        <w:jc w:val="both"/>
        <w:rPr>
          <w:rFonts w:ascii="Arial" w:hAnsi="Arial" w:cs="Arial"/>
          <w:i/>
          <w:sz w:val="20"/>
          <w:szCs w:val="20"/>
        </w:rPr>
      </w:pPr>
    </w:p>
    <w:p w14:paraId="0F853305" w14:textId="77777777" w:rsidR="005A439E" w:rsidRPr="00284ABA" w:rsidRDefault="005A439E" w:rsidP="00284ABA">
      <w:pPr>
        <w:pStyle w:val="Heading1"/>
        <w:rPr>
          <w:rFonts w:ascii="Arial" w:hAnsi="Arial" w:cs="Arial"/>
          <w:sz w:val="22"/>
          <w:szCs w:val="22"/>
        </w:rPr>
      </w:pPr>
      <w:r w:rsidRPr="00284ABA">
        <w:rPr>
          <w:rFonts w:ascii="Arial" w:hAnsi="Arial" w:cs="Arial"/>
          <w:sz w:val="22"/>
          <w:szCs w:val="22"/>
        </w:rPr>
        <w:t>Mission Critical Systems</w:t>
      </w:r>
    </w:p>
    <w:p w14:paraId="04030D07" w14:textId="77777777" w:rsidR="005A439E" w:rsidRPr="003928DE" w:rsidRDefault="005A439E" w:rsidP="005D7FD6">
      <w:pPr>
        <w:jc w:val="both"/>
        <w:rPr>
          <w:rFonts w:ascii="Arial" w:hAnsi="Arial" w:cs="Arial"/>
          <w:sz w:val="20"/>
          <w:szCs w:val="20"/>
        </w:rPr>
      </w:pPr>
    </w:p>
    <w:p w14:paraId="04178097" w14:textId="77777777" w:rsidR="005A439E" w:rsidRDefault="005A439E" w:rsidP="005D7FD6">
      <w:pPr>
        <w:jc w:val="both"/>
        <w:rPr>
          <w:rFonts w:ascii="Arial" w:hAnsi="Arial" w:cs="Arial"/>
          <w:sz w:val="20"/>
          <w:szCs w:val="20"/>
        </w:rPr>
      </w:pPr>
      <w:r>
        <w:rPr>
          <w:rFonts w:ascii="Arial" w:hAnsi="Arial" w:cs="Arial"/>
          <w:sz w:val="20"/>
          <w:szCs w:val="20"/>
        </w:rPr>
        <w:t xml:space="preserve">Our firm conducts business exclusively in </w:t>
      </w:r>
      <w:r w:rsidRPr="00532DAC">
        <w:rPr>
          <w:rFonts w:ascii="Arial" w:hAnsi="Arial" w:cs="Arial"/>
          <w:sz w:val="20"/>
          <w:szCs w:val="20"/>
        </w:rPr>
        <w:t xml:space="preserve">(1) Private Placements  The Firm will also act as an introducing broker to investors to invest in Private Placements in the US and Foreign markets.  </w:t>
      </w:r>
      <w:r>
        <w:rPr>
          <w:rFonts w:ascii="Arial" w:hAnsi="Arial" w:cs="Arial"/>
          <w:sz w:val="20"/>
          <w:szCs w:val="20"/>
        </w:rPr>
        <w:t xml:space="preserve">  Therefore our only </w:t>
      </w:r>
      <w:r>
        <w:rPr>
          <w:rFonts w:ascii="Arial" w:hAnsi="Arial" w:cs="Arial"/>
          <w:sz w:val="20"/>
          <w:szCs w:val="20"/>
        </w:rPr>
        <w:lastRenderedPageBreak/>
        <w:t xml:space="preserve">mission critical systems are our internal electronic and paper records located at our main office.  All data on this system is backed up daily </w:t>
      </w:r>
      <w:r w:rsidRPr="00BB029F">
        <w:rPr>
          <w:rFonts w:ascii="Arial" w:hAnsi="Arial" w:cs="Arial"/>
          <w:sz w:val="20"/>
          <w:szCs w:val="20"/>
        </w:rPr>
        <w:t>to an</w:t>
      </w:r>
      <w:r>
        <w:rPr>
          <w:rFonts w:ascii="Arial" w:hAnsi="Arial" w:cs="Arial"/>
          <w:sz w:val="20"/>
        </w:rPr>
        <w:t xml:space="preserve"> offsite </w:t>
      </w:r>
      <w:r w:rsidRPr="00CF1399">
        <w:rPr>
          <w:rFonts w:ascii="Arial" w:hAnsi="Arial" w:cs="Arial"/>
          <w:sz w:val="20"/>
        </w:rPr>
        <w:t>location under the control of our outside IT consultants.</w:t>
      </w:r>
      <w:r w:rsidRPr="00AD0FE4">
        <w:rPr>
          <w:rFonts w:ascii="Arial" w:hAnsi="Arial" w:cs="Arial"/>
          <w:strike/>
          <w:sz w:val="20"/>
          <w:szCs w:val="20"/>
        </w:rPr>
        <w:t xml:space="preserve"> </w:t>
      </w:r>
    </w:p>
    <w:p w14:paraId="14ACD96E" w14:textId="77777777" w:rsidR="005A439E" w:rsidRDefault="005A439E" w:rsidP="005D7FD6">
      <w:pPr>
        <w:jc w:val="both"/>
        <w:rPr>
          <w:rFonts w:ascii="Arial" w:hAnsi="Arial" w:cs="Arial"/>
          <w:i/>
          <w:sz w:val="20"/>
          <w:szCs w:val="20"/>
          <w:u w:val="single"/>
        </w:rPr>
      </w:pPr>
    </w:p>
    <w:p w14:paraId="461E09C2" w14:textId="77777777" w:rsidR="005A439E" w:rsidRDefault="005A439E" w:rsidP="005D7FD6">
      <w:pPr>
        <w:jc w:val="both"/>
        <w:rPr>
          <w:rFonts w:ascii="Arial" w:hAnsi="Arial" w:cs="Arial"/>
          <w:i/>
          <w:sz w:val="20"/>
          <w:szCs w:val="20"/>
        </w:rPr>
      </w:pPr>
      <w:r>
        <w:rPr>
          <w:rFonts w:ascii="Arial" w:hAnsi="Arial" w:cs="Arial"/>
          <w:i/>
          <w:sz w:val="20"/>
          <w:szCs w:val="20"/>
          <w:u w:val="single"/>
        </w:rPr>
        <w:t>Rules:</w:t>
      </w:r>
      <w:r>
        <w:rPr>
          <w:rFonts w:ascii="Arial" w:hAnsi="Arial" w:cs="Arial"/>
          <w:i/>
          <w:sz w:val="20"/>
          <w:szCs w:val="20"/>
        </w:rPr>
        <w:t xml:space="preserve">  </w:t>
      </w:r>
      <w:r w:rsidR="00706AA0">
        <w:rPr>
          <w:rFonts w:ascii="Arial" w:hAnsi="Arial" w:cs="Arial"/>
          <w:i/>
          <w:sz w:val="20"/>
          <w:szCs w:val="20"/>
        </w:rPr>
        <w:t>FINRA Rule 4370</w:t>
      </w:r>
      <w:r w:rsidR="006928B4">
        <w:rPr>
          <w:rFonts w:ascii="Arial" w:hAnsi="Arial" w:cs="Arial"/>
          <w:i/>
          <w:sz w:val="20"/>
          <w:szCs w:val="20"/>
        </w:rPr>
        <w:t xml:space="preserve"> </w:t>
      </w:r>
      <w:r>
        <w:rPr>
          <w:rFonts w:ascii="Arial" w:hAnsi="Arial" w:cs="Arial"/>
          <w:i/>
          <w:sz w:val="20"/>
          <w:szCs w:val="20"/>
        </w:rPr>
        <w:t>(c) &amp; (f)(1).</w:t>
      </w:r>
    </w:p>
    <w:p w14:paraId="0969252E" w14:textId="77777777" w:rsidR="005A439E" w:rsidRPr="003928DE" w:rsidRDefault="005A439E" w:rsidP="005D7FD6">
      <w:pPr>
        <w:jc w:val="both"/>
        <w:rPr>
          <w:rFonts w:ascii="Arial" w:hAnsi="Arial" w:cs="Arial"/>
          <w:sz w:val="20"/>
          <w:szCs w:val="20"/>
        </w:rPr>
      </w:pPr>
    </w:p>
    <w:p w14:paraId="21C4170D" w14:textId="77777777" w:rsidR="005A439E" w:rsidRPr="003928DE" w:rsidRDefault="005A439E" w:rsidP="005D7FD6">
      <w:pPr>
        <w:jc w:val="both"/>
        <w:rPr>
          <w:rFonts w:ascii="Arial" w:hAnsi="Arial" w:cs="Arial"/>
          <w:sz w:val="20"/>
          <w:szCs w:val="20"/>
        </w:rPr>
      </w:pPr>
    </w:p>
    <w:p w14:paraId="7AB5102E" w14:textId="77777777" w:rsidR="005A439E" w:rsidRPr="00DE364C" w:rsidRDefault="005A439E" w:rsidP="00DE364C">
      <w:pPr>
        <w:pStyle w:val="Heading1"/>
        <w:rPr>
          <w:rFonts w:ascii="Arial" w:hAnsi="Arial" w:cs="Arial"/>
          <w:sz w:val="22"/>
          <w:szCs w:val="22"/>
        </w:rPr>
      </w:pPr>
      <w:r w:rsidRPr="00DE364C">
        <w:rPr>
          <w:rFonts w:ascii="Arial" w:hAnsi="Arial" w:cs="Arial"/>
          <w:sz w:val="22"/>
          <w:szCs w:val="22"/>
        </w:rPr>
        <w:t xml:space="preserve">Alternate Communications Between the Firm and Customers, Employees, and </w:t>
      </w:r>
      <w:r w:rsidR="00284ABA" w:rsidRPr="00DE364C">
        <w:rPr>
          <w:rFonts w:ascii="Arial" w:hAnsi="Arial" w:cs="Arial"/>
          <w:sz w:val="22"/>
          <w:szCs w:val="22"/>
        </w:rPr>
        <w:t xml:space="preserve">  </w:t>
      </w:r>
      <w:r w:rsidR="00DE364C">
        <w:rPr>
          <w:rFonts w:ascii="Arial" w:hAnsi="Arial" w:cs="Arial"/>
          <w:sz w:val="22"/>
          <w:szCs w:val="22"/>
        </w:rPr>
        <w:t xml:space="preserve"> </w:t>
      </w:r>
      <w:r w:rsidRPr="00DE364C">
        <w:rPr>
          <w:rFonts w:ascii="Arial" w:hAnsi="Arial" w:cs="Arial"/>
          <w:sz w:val="22"/>
          <w:szCs w:val="22"/>
        </w:rPr>
        <w:t xml:space="preserve">Regulators </w:t>
      </w:r>
    </w:p>
    <w:p w14:paraId="0F3AB956" w14:textId="77777777" w:rsidR="005A439E" w:rsidRPr="003928DE" w:rsidRDefault="005A439E" w:rsidP="005D7FD6">
      <w:pPr>
        <w:jc w:val="both"/>
        <w:rPr>
          <w:rFonts w:ascii="Arial" w:hAnsi="Arial" w:cs="Arial"/>
          <w:color w:val="000000"/>
          <w:sz w:val="20"/>
          <w:szCs w:val="20"/>
        </w:rPr>
      </w:pPr>
    </w:p>
    <w:p w14:paraId="5AE4DF33" w14:textId="77777777" w:rsidR="005A439E" w:rsidRPr="003928DE" w:rsidRDefault="005A439E" w:rsidP="005D7FD6">
      <w:pPr>
        <w:ind w:left="720"/>
        <w:jc w:val="both"/>
        <w:rPr>
          <w:rFonts w:ascii="Arial" w:hAnsi="Arial" w:cs="Arial"/>
          <w:color w:val="000000"/>
          <w:sz w:val="22"/>
          <w:szCs w:val="22"/>
        </w:rPr>
      </w:pPr>
      <w:r w:rsidRPr="003928DE">
        <w:rPr>
          <w:rFonts w:ascii="Arial" w:hAnsi="Arial" w:cs="Arial"/>
          <w:color w:val="000000"/>
          <w:sz w:val="22"/>
          <w:szCs w:val="22"/>
        </w:rPr>
        <w:t xml:space="preserve">A. </w:t>
      </w:r>
      <w:r w:rsidRPr="003928DE">
        <w:rPr>
          <w:rFonts w:ascii="Arial" w:hAnsi="Arial" w:cs="Arial"/>
          <w:color w:val="000000"/>
          <w:sz w:val="22"/>
          <w:szCs w:val="22"/>
          <w:u w:val="single"/>
        </w:rPr>
        <w:t>Customers</w:t>
      </w:r>
    </w:p>
    <w:p w14:paraId="195381E5" w14:textId="77777777" w:rsidR="005A439E" w:rsidRPr="003928DE" w:rsidRDefault="005A439E" w:rsidP="005D7FD6">
      <w:pPr>
        <w:ind w:left="720"/>
        <w:jc w:val="both"/>
        <w:rPr>
          <w:rFonts w:ascii="Arial" w:hAnsi="Arial" w:cs="Arial"/>
          <w:color w:val="000000"/>
          <w:sz w:val="20"/>
          <w:szCs w:val="20"/>
        </w:rPr>
      </w:pPr>
    </w:p>
    <w:p w14:paraId="33AAE3EB" w14:textId="77777777" w:rsidR="005A439E" w:rsidRPr="003928DE" w:rsidRDefault="005A439E" w:rsidP="005D7FD6">
      <w:pPr>
        <w:ind w:left="720"/>
        <w:jc w:val="both"/>
        <w:rPr>
          <w:rFonts w:ascii="Arial" w:hAnsi="Arial" w:cs="Arial"/>
          <w:sz w:val="20"/>
          <w:szCs w:val="20"/>
        </w:rPr>
      </w:pPr>
      <w:r w:rsidRPr="003928DE">
        <w:rPr>
          <w:rFonts w:ascii="Arial" w:hAnsi="Arial" w:cs="Arial"/>
          <w:sz w:val="20"/>
          <w:szCs w:val="20"/>
        </w:rPr>
        <w:t>We now communicate with our customers using [</w:t>
      </w:r>
      <w:r w:rsidRPr="003928DE">
        <w:rPr>
          <w:rFonts w:ascii="Arial" w:hAnsi="Arial" w:cs="Arial"/>
          <w:i/>
          <w:iCs/>
          <w:sz w:val="20"/>
          <w:szCs w:val="20"/>
        </w:rPr>
        <w:t>insert all that apply</w:t>
      </w:r>
      <w:r w:rsidRPr="003928DE">
        <w:rPr>
          <w:rFonts w:ascii="Arial" w:hAnsi="Arial" w:cs="Arial"/>
          <w:sz w:val="20"/>
          <w:szCs w:val="20"/>
        </w:rPr>
        <w:t xml:space="preserve">] the telephone, e-mail, our Web site, fax, U.S. mail, and in person visits at our firm or at the other’s location.  In the event of an SBD, we will assess which means of communication are still available to us, and use the means closest in speed and form (written or oral) to the means that we have used in the past to communicate with the other party. For example, if we have communicated with a party by e-mail but the Internet is unavailable, we will call them on the telephone and follow up where a record is needed with paper copy in the U.S. mail.  </w:t>
      </w:r>
    </w:p>
    <w:p w14:paraId="3DF66AEA" w14:textId="77777777" w:rsidR="005A439E" w:rsidRPr="003928DE" w:rsidRDefault="005A439E" w:rsidP="005D7FD6">
      <w:pPr>
        <w:jc w:val="both"/>
        <w:rPr>
          <w:rFonts w:ascii="Arial" w:hAnsi="Arial" w:cs="Arial"/>
          <w:sz w:val="20"/>
          <w:szCs w:val="20"/>
        </w:rPr>
      </w:pPr>
    </w:p>
    <w:p w14:paraId="317063DB" w14:textId="77777777" w:rsidR="005A439E" w:rsidRPr="003928DE" w:rsidRDefault="005A439E" w:rsidP="005D7FD6">
      <w:pPr>
        <w:ind w:firstLine="720"/>
        <w:jc w:val="both"/>
        <w:rPr>
          <w:rFonts w:ascii="Arial" w:hAnsi="Arial" w:cs="Arial"/>
          <w:sz w:val="20"/>
          <w:szCs w:val="20"/>
        </w:rPr>
      </w:pPr>
      <w:r w:rsidRPr="003928DE">
        <w:rPr>
          <w:rFonts w:ascii="Arial" w:hAnsi="Arial" w:cs="Arial"/>
          <w:i/>
          <w:sz w:val="20"/>
          <w:szCs w:val="20"/>
          <w:u w:val="single"/>
        </w:rPr>
        <w:t>Rule:</w:t>
      </w:r>
      <w:r w:rsidRPr="003928DE">
        <w:rPr>
          <w:rFonts w:ascii="Arial" w:hAnsi="Arial" w:cs="Arial"/>
          <w:i/>
          <w:sz w:val="20"/>
          <w:szCs w:val="20"/>
        </w:rPr>
        <w:t xml:space="preserve">  </w:t>
      </w:r>
      <w:r w:rsidR="00706AA0">
        <w:rPr>
          <w:rFonts w:ascii="Arial" w:hAnsi="Arial" w:cs="Arial"/>
          <w:i/>
          <w:sz w:val="20"/>
          <w:szCs w:val="20"/>
        </w:rPr>
        <w:t>FINRA Rule 4370</w:t>
      </w:r>
      <w:r w:rsidRPr="003928DE">
        <w:rPr>
          <w:rFonts w:ascii="Arial" w:hAnsi="Arial" w:cs="Arial"/>
          <w:i/>
          <w:sz w:val="20"/>
          <w:szCs w:val="20"/>
        </w:rPr>
        <w:t>(c)(4).</w:t>
      </w:r>
    </w:p>
    <w:p w14:paraId="3FB3A206" w14:textId="77777777" w:rsidR="005A439E" w:rsidRPr="003928DE" w:rsidRDefault="005A439E" w:rsidP="005D7FD6">
      <w:pPr>
        <w:jc w:val="both"/>
        <w:rPr>
          <w:rFonts w:ascii="Arial" w:hAnsi="Arial" w:cs="Arial"/>
          <w:sz w:val="20"/>
          <w:szCs w:val="20"/>
        </w:rPr>
      </w:pPr>
    </w:p>
    <w:p w14:paraId="695B955F" w14:textId="77777777" w:rsidR="005A439E" w:rsidRPr="003928DE" w:rsidRDefault="005A439E" w:rsidP="005D7FD6">
      <w:pPr>
        <w:jc w:val="both"/>
        <w:rPr>
          <w:rFonts w:ascii="Arial" w:hAnsi="Arial" w:cs="Arial"/>
          <w:sz w:val="22"/>
          <w:szCs w:val="22"/>
          <w:u w:val="single"/>
        </w:rPr>
      </w:pPr>
      <w:r w:rsidRPr="003928DE">
        <w:rPr>
          <w:rFonts w:ascii="Arial" w:hAnsi="Arial" w:cs="Arial"/>
          <w:sz w:val="20"/>
          <w:szCs w:val="20"/>
        </w:rPr>
        <w:tab/>
      </w:r>
      <w:r w:rsidRPr="003928DE">
        <w:rPr>
          <w:rFonts w:ascii="Arial" w:hAnsi="Arial" w:cs="Arial"/>
          <w:sz w:val="22"/>
          <w:szCs w:val="22"/>
        </w:rPr>
        <w:t xml:space="preserve">B.  </w:t>
      </w:r>
      <w:r w:rsidRPr="003928DE">
        <w:rPr>
          <w:rFonts w:ascii="Arial" w:hAnsi="Arial" w:cs="Arial"/>
          <w:sz w:val="22"/>
          <w:szCs w:val="22"/>
          <w:u w:val="single"/>
        </w:rPr>
        <w:t>Employees</w:t>
      </w:r>
    </w:p>
    <w:p w14:paraId="797E4B81" w14:textId="77777777" w:rsidR="005A439E" w:rsidRPr="003928DE" w:rsidRDefault="005A439E" w:rsidP="005D7FD6">
      <w:pPr>
        <w:jc w:val="both"/>
        <w:rPr>
          <w:rFonts w:ascii="Arial" w:hAnsi="Arial" w:cs="Arial"/>
          <w:sz w:val="20"/>
          <w:szCs w:val="20"/>
        </w:rPr>
      </w:pPr>
    </w:p>
    <w:p w14:paraId="7D238693" w14:textId="77777777" w:rsidR="005A439E" w:rsidRPr="003928DE" w:rsidRDefault="005A439E" w:rsidP="005D7FD6">
      <w:pPr>
        <w:ind w:left="720"/>
        <w:jc w:val="both"/>
        <w:rPr>
          <w:rFonts w:ascii="Arial" w:hAnsi="Arial" w:cs="Arial"/>
          <w:sz w:val="20"/>
          <w:szCs w:val="20"/>
        </w:rPr>
      </w:pPr>
      <w:r w:rsidRPr="003928DE">
        <w:rPr>
          <w:rFonts w:ascii="Arial" w:hAnsi="Arial" w:cs="Arial"/>
          <w:sz w:val="20"/>
          <w:szCs w:val="20"/>
        </w:rPr>
        <w:t>We now communicate with our employees using the telephone, e-mail, and in person.  In the event of an SBD, we will assess which means of communication are still available to us, and use the means closest in speed and form (written or oral) to the means that we have used in the past to communicate with the other party. We will also employ a call tree so that senior management can reach all employees quickly during an SBD.  The call tree includes all staff home and office phone numbers.  We have identified persons, noted below, who live near each other and may reach each other in person:</w:t>
      </w:r>
    </w:p>
    <w:p w14:paraId="56EEB933" w14:textId="77777777" w:rsidR="005A439E" w:rsidRPr="003928DE" w:rsidRDefault="005A439E" w:rsidP="005D7FD6">
      <w:pPr>
        <w:jc w:val="both"/>
        <w:rPr>
          <w:rFonts w:ascii="Arial" w:hAnsi="Arial" w:cs="Arial"/>
          <w:sz w:val="20"/>
          <w:szCs w:val="20"/>
        </w:rPr>
      </w:pPr>
    </w:p>
    <w:p w14:paraId="1F43C6DA" w14:textId="77777777" w:rsidR="005A439E" w:rsidRPr="003928DE" w:rsidRDefault="005A439E" w:rsidP="005D7FD6">
      <w:pPr>
        <w:ind w:firstLine="720"/>
        <w:jc w:val="both"/>
        <w:rPr>
          <w:rFonts w:ascii="Arial" w:hAnsi="Arial" w:cs="Arial"/>
          <w:sz w:val="20"/>
          <w:szCs w:val="20"/>
        </w:rPr>
      </w:pPr>
      <w:r w:rsidRPr="003928DE">
        <w:rPr>
          <w:rFonts w:ascii="Arial" w:hAnsi="Arial" w:cs="Arial"/>
          <w:sz w:val="20"/>
          <w:szCs w:val="20"/>
        </w:rPr>
        <w:t xml:space="preserve">The person to invoke use of the call tree is: </w:t>
      </w:r>
      <w:r>
        <w:rPr>
          <w:rFonts w:ascii="Arial" w:hAnsi="Arial" w:cs="Arial"/>
          <w:sz w:val="20"/>
          <w:szCs w:val="20"/>
        </w:rPr>
        <w:t>Warren Wibbelsman</w:t>
      </w:r>
    </w:p>
    <w:p w14:paraId="06304D33" w14:textId="77777777" w:rsidR="005A439E" w:rsidRPr="003928DE" w:rsidRDefault="005A439E" w:rsidP="005D7FD6">
      <w:pPr>
        <w:jc w:val="both"/>
        <w:rPr>
          <w:rFonts w:ascii="Arial" w:hAnsi="Arial" w:cs="Arial"/>
          <w:sz w:val="20"/>
          <w:szCs w:val="20"/>
        </w:rPr>
      </w:pPr>
    </w:p>
    <w:tbl>
      <w:tblPr>
        <w:tblW w:w="774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gridCol w:w="4140"/>
      </w:tblGrid>
      <w:tr w:rsidR="005A439E" w:rsidRPr="003928DE" w14:paraId="09DF4C62" w14:textId="77777777">
        <w:tc>
          <w:tcPr>
            <w:tcW w:w="3600" w:type="dxa"/>
            <w:shd w:val="pct25" w:color="auto" w:fill="auto"/>
          </w:tcPr>
          <w:p w14:paraId="060E5341" w14:textId="77777777" w:rsidR="005A439E" w:rsidRPr="003928DE" w:rsidRDefault="005A439E" w:rsidP="005D7FD6">
            <w:pPr>
              <w:jc w:val="both"/>
              <w:rPr>
                <w:rFonts w:ascii="Arial" w:hAnsi="Arial" w:cs="Arial"/>
                <w:b/>
                <w:sz w:val="20"/>
                <w:szCs w:val="20"/>
              </w:rPr>
            </w:pPr>
            <w:r w:rsidRPr="003928DE">
              <w:rPr>
                <w:rFonts w:ascii="Arial" w:hAnsi="Arial" w:cs="Arial"/>
                <w:b/>
                <w:sz w:val="20"/>
                <w:szCs w:val="20"/>
              </w:rPr>
              <w:t>Caller</w:t>
            </w:r>
          </w:p>
        </w:tc>
        <w:tc>
          <w:tcPr>
            <w:tcW w:w="4140" w:type="dxa"/>
            <w:shd w:val="pct25" w:color="auto" w:fill="auto"/>
          </w:tcPr>
          <w:p w14:paraId="6E9CA127" w14:textId="77777777" w:rsidR="005A439E" w:rsidRPr="003928DE" w:rsidRDefault="005A439E" w:rsidP="005D7FD6">
            <w:pPr>
              <w:jc w:val="both"/>
              <w:rPr>
                <w:rFonts w:ascii="Arial" w:hAnsi="Arial" w:cs="Arial"/>
                <w:b/>
                <w:sz w:val="20"/>
                <w:szCs w:val="20"/>
              </w:rPr>
            </w:pPr>
            <w:r w:rsidRPr="003928DE">
              <w:rPr>
                <w:rFonts w:ascii="Arial" w:hAnsi="Arial" w:cs="Arial"/>
                <w:b/>
                <w:sz w:val="20"/>
                <w:szCs w:val="20"/>
              </w:rPr>
              <w:t>Call Recipients</w:t>
            </w:r>
          </w:p>
        </w:tc>
      </w:tr>
      <w:tr w:rsidR="005A439E" w:rsidRPr="003928DE" w14:paraId="3609F004" w14:textId="77777777">
        <w:tc>
          <w:tcPr>
            <w:tcW w:w="3600" w:type="dxa"/>
          </w:tcPr>
          <w:p w14:paraId="5681FEC7" w14:textId="77777777" w:rsidR="005A439E" w:rsidRPr="003928DE" w:rsidRDefault="005A439E" w:rsidP="005D7FD6">
            <w:pPr>
              <w:pStyle w:val="Header"/>
              <w:tabs>
                <w:tab w:val="clear" w:pos="4320"/>
                <w:tab w:val="clear" w:pos="8640"/>
              </w:tabs>
              <w:jc w:val="both"/>
              <w:rPr>
                <w:rFonts w:ascii="Arial" w:hAnsi="Arial" w:cs="Arial"/>
                <w:i/>
                <w:iCs/>
                <w:sz w:val="20"/>
                <w:szCs w:val="20"/>
              </w:rPr>
            </w:pPr>
            <w:r>
              <w:rPr>
                <w:rFonts w:ascii="Arial" w:hAnsi="Arial" w:cs="Arial"/>
                <w:i/>
                <w:iCs/>
                <w:sz w:val="20"/>
                <w:szCs w:val="20"/>
              </w:rPr>
              <w:t>Warren Wibbelsman</w:t>
            </w:r>
          </w:p>
        </w:tc>
        <w:tc>
          <w:tcPr>
            <w:tcW w:w="4140" w:type="dxa"/>
          </w:tcPr>
          <w:p w14:paraId="5417F474" w14:textId="77777777" w:rsidR="00CB3863" w:rsidRPr="003928DE" w:rsidRDefault="00706AA0" w:rsidP="005D7FD6">
            <w:pPr>
              <w:jc w:val="both"/>
              <w:rPr>
                <w:rFonts w:ascii="Arial" w:hAnsi="Arial" w:cs="Arial"/>
                <w:i/>
                <w:iCs/>
                <w:sz w:val="20"/>
                <w:szCs w:val="20"/>
              </w:rPr>
            </w:pPr>
            <w:r>
              <w:rPr>
                <w:rFonts w:ascii="Arial" w:hAnsi="Arial" w:cs="Arial"/>
                <w:i/>
                <w:iCs/>
                <w:sz w:val="20"/>
                <w:szCs w:val="20"/>
              </w:rPr>
              <w:t>William Morgan</w:t>
            </w:r>
          </w:p>
        </w:tc>
      </w:tr>
      <w:tr w:rsidR="005A439E" w:rsidRPr="003928DE" w14:paraId="3D06BEE5" w14:textId="77777777">
        <w:tc>
          <w:tcPr>
            <w:tcW w:w="3600" w:type="dxa"/>
          </w:tcPr>
          <w:p w14:paraId="3649962E" w14:textId="77777777" w:rsidR="005A439E" w:rsidRPr="003928DE" w:rsidRDefault="0064570B" w:rsidP="005D7FD6">
            <w:pPr>
              <w:pStyle w:val="Level1"/>
              <w:overflowPunct/>
              <w:autoSpaceDE/>
              <w:autoSpaceDN/>
              <w:adjustRightInd/>
              <w:jc w:val="both"/>
              <w:textAlignment w:val="auto"/>
              <w:rPr>
                <w:rFonts w:cs="Arial"/>
                <w:b w:val="0"/>
                <w:i/>
                <w:iCs/>
                <w:sz w:val="20"/>
              </w:rPr>
            </w:pPr>
            <w:r>
              <w:rPr>
                <w:rFonts w:cs="Arial"/>
                <w:b w:val="0"/>
                <w:i/>
                <w:iCs/>
                <w:sz w:val="20"/>
              </w:rPr>
              <w:t>Warren Wibbelsman</w:t>
            </w:r>
          </w:p>
        </w:tc>
        <w:tc>
          <w:tcPr>
            <w:tcW w:w="4140" w:type="dxa"/>
          </w:tcPr>
          <w:p w14:paraId="40133C8D" w14:textId="77777777" w:rsidR="005A439E" w:rsidRPr="003928DE" w:rsidRDefault="005A439E" w:rsidP="005D7FD6">
            <w:pPr>
              <w:jc w:val="both"/>
              <w:rPr>
                <w:rFonts w:ascii="Arial" w:hAnsi="Arial" w:cs="Arial"/>
                <w:i/>
                <w:iCs/>
                <w:sz w:val="20"/>
                <w:szCs w:val="20"/>
              </w:rPr>
            </w:pPr>
          </w:p>
        </w:tc>
      </w:tr>
      <w:tr w:rsidR="005A439E" w:rsidRPr="003928DE" w14:paraId="3D8578D0" w14:textId="77777777">
        <w:tc>
          <w:tcPr>
            <w:tcW w:w="3600" w:type="dxa"/>
          </w:tcPr>
          <w:p w14:paraId="46D63095" w14:textId="77777777" w:rsidR="005A439E" w:rsidRPr="003928DE" w:rsidRDefault="005A439E" w:rsidP="005D7FD6">
            <w:pPr>
              <w:jc w:val="both"/>
              <w:rPr>
                <w:rFonts w:ascii="Arial" w:hAnsi="Arial" w:cs="Arial"/>
                <w:sz w:val="20"/>
                <w:szCs w:val="20"/>
              </w:rPr>
            </w:pPr>
          </w:p>
        </w:tc>
        <w:tc>
          <w:tcPr>
            <w:tcW w:w="4140" w:type="dxa"/>
          </w:tcPr>
          <w:p w14:paraId="2212925B" w14:textId="77777777" w:rsidR="005A439E" w:rsidRPr="003928DE" w:rsidRDefault="005A439E" w:rsidP="005D7FD6">
            <w:pPr>
              <w:pStyle w:val="Header"/>
              <w:tabs>
                <w:tab w:val="clear" w:pos="4320"/>
                <w:tab w:val="clear" w:pos="8640"/>
              </w:tabs>
              <w:jc w:val="both"/>
              <w:rPr>
                <w:rFonts w:ascii="Arial" w:hAnsi="Arial" w:cs="Arial"/>
                <w:sz w:val="20"/>
                <w:szCs w:val="20"/>
              </w:rPr>
            </w:pPr>
          </w:p>
        </w:tc>
      </w:tr>
      <w:tr w:rsidR="005A439E" w:rsidRPr="003928DE" w14:paraId="66B3A7F8" w14:textId="77777777">
        <w:tc>
          <w:tcPr>
            <w:tcW w:w="3600" w:type="dxa"/>
          </w:tcPr>
          <w:p w14:paraId="44788F8A" w14:textId="77777777" w:rsidR="005A439E" w:rsidRPr="003928DE" w:rsidRDefault="005A439E" w:rsidP="005D7FD6">
            <w:pPr>
              <w:pStyle w:val="Header"/>
              <w:tabs>
                <w:tab w:val="clear" w:pos="4320"/>
                <w:tab w:val="clear" w:pos="8640"/>
              </w:tabs>
              <w:jc w:val="both"/>
              <w:rPr>
                <w:rFonts w:ascii="Arial" w:hAnsi="Arial" w:cs="Arial"/>
                <w:bCs/>
                <w:sz w:val="20"/>
                <w:szCs w:val="20"/>
              </w:rPr>
            </w:pPr>
          </w:p>
        </w:tc>
        <w:tc>
          <w:tcPr>
            <w:tcW w:w="4140" w:type="dxa"/>
          </w:tcPr>
          <w:p w14:paraId="60278203" w14:textId="77777777" w:rsidR="005A439E" w:rsidRPr="003928DE" w:rsidRDefault="005A439E" w:rsidP="005D7FD6">
            <w:pPr>
              <w:pStyle w:val="TOC1"/>
              <w:tabs>
                <w:tab w:val="clear" w:pos="9540"/>
              </w:tabs>
              <w:overflowPunct/>
              <w:autoSpaceDE/>
              <w:autoSpaceDN/>
              <w:adjustRightInd/>
              <w:jc w:val="both"/>
              <w:textAlignment w:val="auto"/>
              <w:rPr>
                <w:rFonts w:cs="Arial"/>
                <w:bCs/>
                <w:sz w:val="20"/>
              </w:rPr>
            </w:pPr>
          </w:p>
        </w:tc>
      </w:tr>
      <w:tr w:rsidR="005A439E" w:rsidRPr="003928DE" w14:paraId="25B8F7AC" w14:textId="77777777">
        <w:tc>
          <w:tcPr>
            <w:tcW w:w="3600" w:type="dxa"/>
          </w:tcPr>
          <w:p w14:paraId="153FD11A" w14:textId="77777777" w:rsidR="005A439E" w:rsidRPr="003928DE" w:rsidRDefault="005A439E" w:rsidP="005D7FD6">
            <w:pPr>
              <w:pStyle w:val="Header"/>
              <w:tabs>
                <w:tab w:val="clear" w:pos="4320"/>
                <w:tab w:val="clear" w:pos="8640"/>
              </w:tabs>
              <w:jc w:val="both"/>
              <w:rPr>
                <w:rFonts w:ascii="Arial" w:hAnsi="Arial" w:cs="Arial"/>
                <w:bCs/>
                <w:sz w:val="20"/>
                <w:szCs w:val="20"/>
              </w:rPr>
            </w:pPr>
          </w:p>
        </w:tc>
        <w:tc>
          <w:tcPr>
            <w:tcW w:w="4140" w:type="dxa"/>
          </w:tcPr>
          <w:p w14:paraId="4C459D86" w14:textId="77777777" w:rsidR="005A439E" w:rsidRPr="003928DE" w:rsidRDefault="005A439E" w:rsidP="005D7FD6">
            <w:pPr>
              <w:pStyle w:val="Header"/>
              <w:tabs>
                <w:tab w:val="clear" w:pos="4320"/>
                <w:tab w:val="clear" w:pos="8640"/>
              </w:tabs>
              <w:jc w:val="both"/>
              <w:rPr>
                <w:rFonts w:ascii="Arial" w:hAnsi="Arial" w:cs="Arial"/>
                <w:sz w:val="20"/>
                <w:szCs w:val="20"/>
              </w:rPr>
            </w:pPr>
          </w:p>
        </w:tc>
      </w:tr>
      <w:tr w:rsidR="005A439E" w:rsidRPr="003928DE" w14:paraId="5961999A" w14:textId="77777777">
        <w:tc>
          <w:tcPr>
            <w:tcW w:w="3600" w:type="dxa"/>
          </w:tcPr>
          <w:p w14:paraId="44023ABB" w14:textId="77777777" w:rsidR="005A439E" w:rsidRPr="003928DE" w:rsidRDefault="005A439E" w:rsidP="005D7FD6">
            <w:pPr>
              <w:pStyle w:val="Header"/>
              <w:tabs>
                <w:tab w:val="clear" w:pos="4320"/>
                <w:tab w:val="clear" w:pos="8640"/>
              </w:tabs>
              <w:jc w:val="both"/>
              <w:rPr>
                <w:rFonts w:ascii="Arial" w:hAnsi="Arial" w:cs="Arial"/>
                <w:bCs/>
                <w:sz w:val="20"/>
                <w:szCs w:val="20"/>
              </w:rPr>
            </w:pPr>
          </w:p>
        </w:tc>
        <w:tc>
          <w:tcPr>
            <w:tcW w:w="4140" w:type="dxa"/>
          </w:tcPr>
          <w:p w14:paraId="2493E915" w14:textId="77777777" w:rsidR="005A439E" w:rsidRPr="003928DE" w:rsidRDefault="005A439E" w:rsidP="005D7FD6">
            <w:pPr>
              <w:jc w:val="both"/>
              <w:rPr>
                <w:rFonts w:ascii="Arial" w:hAnsi="Arial" w:cs="Arial"/>
                <w:sz w:val="20"/>
                <w:szCs w:val="20"/>
              </w:rPr>
            </w:pPr>
          </w:p>
        </w:tc>
      </w:tr>
    </w:tbl>
    <w:p w14:paraId="104E9405" w14:textId="77777777" w:rsidR="005A439E" w:rsidRPr="003928DE" w:rsidRDefault="005A439E" w:rsidP="005D7FD6">
      <w:pPr>
        <w:jc w:val="both"/>
        <w:rPr>
          <w:rFonts w:ascii="Arial" w:hAnsi="Arial" w:cs="Arial"/>
          <w:sz w:val="20"/>
          <w:szCs w:val="20"/>
        </w:rPr>
      </w:pPr>
    </w:p>
    <w:p w14:paraId="31914CF3" w14:textId="77777777" w:rsidR="00B1365F" w:rsidRDefault="005A439E" w:rsidP="005D7FD6">
      <w:pPr>
        <w:jc w:val="both"/>
        <w:rPr>
          <w:rFonts w:ascii="Arial" w:hAnsi="Arial" w:cs="Arial"/>
          <w:sz w:val="20"/>
          <w:szCs w:val="20"/>
        </w:rPr>
      </w:pPr>
      <w:r w:rsidRPr="003928DE">
        <w:rPr>
          <w:rFonts w:ascii="Arial" w:hAnsi="Arial" w:cs="Arial"/>
          <w:i/>
          <w:sz w:val="20"/>
          <w:szCs w:val="20"/>
          <w:u w:val="single"/>
        </w:rPr>
        <w:t>Rule:</w:t>
      </w:r>
      <w:r w:rsidRPr="003928DE">
        <w:rPr>
          <w:rFonts w:ascii="Arial" w:hAnsi="Arial" w:cs="Arial"/>
          <w:i/>
          <w:sz w:val="20"/>
          <w:szCs w:val="20"/>
        </w:rPr>
        <w:t xml:space="preserve">  </w:t>
      </w:r>
      <w:r w:rsidR="006928B4">
        <w:rPr>
          <w:rFonts w:ascii="Arial" w:hAnsi="Arial" w:cs="Arial"/>
          <w:i/>
          <w:sz w:val="20"/>
          <w:szCs w:val="20"/>
        </w:rPr>
        <w:t xml:space="preserve">FINRA Rule 4370 </w:t>
      </w:r>
      <w:r w:rsidRPr="003928DE">
        <w:rPr>
          <w:rFonts w:ascii="Arial" w:hAnsi="Arial" w:cs="Arial"/>
          <w:i/>
          <w:sz w:val="20"/>
          <w:szCs w:val="20"/>
        </w:rPr>
        <w:t>(c)(5).</w:t>
      </w:r>
      <w:r w:rsidRPr="003928DE">
        <w:rPr>
          <w:rFonts w:ascii="Arial" w:hAnsi="Arial" w:cs="Arial"/>
          <w:sz w:val="20"/>
          <w:szCs w:val="20"/>
        </w:rPr>
        <w:tab/>
      </w:r>
    </w:p>
    <w:p w14:paraId="2E41C48B" w14:textId="77777777" w:rsidR="00284ABA" w:rsidRDefault="00284ABA" w:rsidP="005D7FD6">
      <w:pPr>
        <w:jc w:val="both"/>
        <w:rPr>
          <w:rFonts w:ascii="Arial" w:hAnsi="Arial" w:cs="Arial"/>
          <w:sz w:val="20"/>
          <w:szCs w:val="20"/>
        </w:rPr>
      </w:pPr>
    </w:p>
    <w:p w14:paraId="2C1DE02A" w14:textId="77777777" w:rsidR="005A439E" w:rsidRPr="003928DE" w:rsidRDefault="005A439E" w:rsidP="005D7FD6">
      <w:pPr>
        <w:jc w:val="both"/>
        <w:rPr>
          <w:rFonts w:ascii="Arial" w:hAnsi="Arial" w:cs="Arial"/>
          <w:sz w:val="22"/>
          <w:szCs w:val="22"/>
        </w:rPr>
      </w:pPr>
      <w:r w:rsidRPr="003928DE">
        <w:rPr>
          <w:rFonts w:ascii="Arial" w:hAnsi="Arial" w:cs="Arial"/>
          <w:sz w:val="22"/>
          <w:szCs w:val="22"/>
        </w:rPr>
        <w:t>C.  Regulators</w:t>
      </w:r>
    </w:p>
    <w:p w14:paraId="112D72AB" w14:textId="77777777" w:rsidR="005A439E" w:rsidRPr="003928DE" w:rsidRDefault="005A439E" w:rsidP="005D7FD6">
      <w:pPr>
        <w:jc w:val="both"/>
        <w:rPr>
          <w:rFonts w:ascii="Arial" w:hAnsi="Arial" w:cs="Arial"/>
          <w:sz w:val="20"/>
          <w:szCs w:val="20"/>
        </w:rPr>
      </w:pPr>
    </w:p>
    <w:p w14:paraId="1794C192" w14:textId="77777777" w:rsidR="005A439E" w:rsidRPr="003928DE" w:rsidRDefault="005A439E" w:rsidP="005D7FD6">
      <w:pPr>
        <w:ind w:left="720"/>
        <w:jc w:val="both"/>
        <w:rPr>
          <w:rFonts w:ascii="Arial" w:hAnsi="Arial" w:cs="Arial"/>
          <w:sz w:val="20"/>
          <w:szCs w:val="20"/>
        </w:rPr>
      </w:pPr>
      <w:r w:rsidRPr="003928DE">
        <w:rPr>
          <w:rFonts w:ascii="Arial" w:hAnsi="Arial" w:cs="Arial"/>
          <w:sz w:val="20"/>
          <w:szCs w:val="20"/>
        </w:rPr>
        <w:t xml:space="preserve">We are currently members of </w:t>
      </w:r>
      <w:r>
        <w:rPr>
          <w:rFonts w:ascii="Arial" w:hAnsi="Arial" w:cs="Arial"/>
          <w:sz w:val="20"/>
          <w:szCs w:val="20"/>
        </w:rPr>
        <w:t xml:space="preserve">FINRA and the </w:t>
      </w:r>
      <w:proofErr w:type="gramStart"/>
      <w:r>
        <w:rPr>
          <w:rFonts w:ascii="Arial" w:hAnsi="Arial" w:cs="Arial"/>
          <w:sz w:val="20"/>
          <w:szCs w:val="20"/>
        </w:rPr>
        <w:t>SEC</w:t>
      </w:r>
      <w:r w:rsidRPr="003928DE">
        <w:rPr>
          <w:rFonts w:ascii="Arial" w:hAnsi="Arial" w:cs="Arial"/>
          <w:i/>
          <w:iCs/>
          <w:sz w:val="20"/>
          <w:szCs w:val="20"/>
        </w:rPr>
        <w:t xml:space="preserve"> .</w:t>
      </w:r>
      <w:proofErr w:type="gramEnd"/>
      <w:r w:rsidRPr="003928DE">
        <w:rPr>
          <w:rFonts w:ascii="Arial" w:hAnsi="Arial" w:cs="Arial"/>
          <w:i/>
          <w:iCs/>
          <w:sz w:val="20"/>
          <w:szCs w:val="20"/>
        </w:rPr>
        <w:t xml:space="preserve">  </w:t>
      </w:r>
      <w:r w:rsidRPr="003928DE">
        <w:rPr>
          <w:rFonts w:ascii="Arial" w:hAnsi="Arial" w:cs="Arial"/>
          <w:sz w:val="20"/>
          <w:szCs w:val="20"/>
        </w:rPr>
        <w:t xml:space="preserve">We communicate with our regulators </w:t>
      </w:r>
      <w:proofErr w:type="gramStart"/>
      <w:r w:rsidRPr="003928DE">
        <w:rPr>
          <w:rFonts w:ascii="Arial" w:hAnsi="Arial" w:cs="Arial"/>
          <w:sz w:val="20"/>
          <w:szCs w:val="20"/>
        </w:rPr>
        <w:t xml:space="preserve">using </w:t>
      </w:r>
      <w:r w:rsidRPr="003928DE">
        <w:rPr>
          <w:rFonts w:ascii="Arial" w:hAnsi="Arial" w:cs="Arial"/>
          <w:i/>
          <w:iCs/>
          <w:sz w:val="20"/>
          <w:szCs w:val="20"/>
        </w:rPr>
        <w:t xml:space="preserve"> </w:t>
      </w:r>
      <w:r w:rsidRPr="003928DE">
        <w:rPr>
          <w:rFonts w:ascii="Arial" w:hAnsi="Arial" w:cs="Arial"/>
          <w:sz w:val="20"/>
          <w:szCs w:val="20"/>
        </w:rPr>
        <w:t>the</w:t>
      </w:r>
      <w:proofErr w:type="gramEnd"/>
      <w:r w:rsidRPr="003928DE">
        <w:rPr>
          <w:rFonts w:ascii="Arial" w:hAnsi="Arial" w:cs="Arial"/>
          <w:sz w:val="20"/>
          <w:szCs w:val="20"/>
        </w:rPr>
        <w:t xml:space="preserve"> telephone, e-mail, fax, U.S. mail, and in person.  In the event of an SBD, we will assess which means of communication are still available to us, and use the means closest in speed and form (written or oral) to the means that we have used in the past to communicate with the other party. </w:t>
      </w:r>
    </w:p>
    <w:p w14:paraId="40D2C166" w14:textId="77777777" w:rsidR="005A439E" w:rsidRPr="003928DE" w:rsidRDefault="005A439E" w:rsidP="005D7FD6">
      <w:pPr>
        <w:jc w:val="both"/>
        <w:rPr>
          <w:rFonts w:ascii="Arial" w:hAnsi="Arial" w:cs="Arial"/>
          <w:sz w:val="20"/>
          <w:szCs w:val="20"/>
        </w:rPr>
      </w:pPr>
    </w:p>
    <w:p w14:paraId="70524B35" w14:textId="77777777" w:rsidR="005A439E" w:rsidRPr="003928DE" w:rsidRDefault="005A439E" w:rsidP="005D7FD6">
      <w:pPr>
        <w:ind w:firstLine="720"/>
        <w:jc w:val="both"/>
        <w:rPr>
          <w:rFonts w:ascii="Arial" w:hAnsi="Arial" w:cs="Arial"/>
          <w:sz w:val="20"/>
          <w:szCs w:val="20"/>
        </w:rPr>
      </w:pPr>
      <w:r w:rsidRPr="003928DE">
        <w:rPr>
          <w:rFonts w:ascii="Arial" w:hAnsi="Arial" w:cs="Arial"/>
          <w:i/>
          <w:sz w:val="20"/>
          <w:szCs w:val="20"/>
          <w:u w:val="single"/>
        </w:rPr>
        <w:t>Rule:</w:t>
      </w:r>
      <w:r w:rsidRPr="003928DE">
        <w:rPr>
          <w:rFonts w:ascii="Arial" w:hAnsi="Arial" w:cs="Arial"/>
          <w:i/>
          <w:sz w:val="20"/>
          <w:szCs w:val="20"/>
        </w:rPr>
        <w:t xml:space="preserve">  </w:t>
      </w:r>
      <w:r w:rsidR="006928B4">
        <w:rPr>
          <w:rFonts w:ascii="Arial" w:hAnsi="Arial" w:cs="Arial"/>
          <w:i/>
          <w:sz w:val="20"/>
          <w:szCs w:val="20"/>
        </w:rPr>
        <w:t>FINRA Rule 4370</w:t>
      </w:r>
      <w:r w:rsidRPr="003928DE">
        <w:rPr>
          <w:rFonts w:ascii="Arial" w:hAnsi="Arial" w:cs="Arial"/>
          <w:i/>
          <w:sz w:val="20"/>
          <w:szCs w:val="20"/>
        </w:rPr>
        <w:t>(c)(9).</w:t>
      </w:r>
    </w:p>
    <w:p w14:paraId="201C1256" w14:textId="77777777" w:rsidR="005A439E" w:rsidRDefault="005A439E" w:rsidP="005D7FD6">
      <w:pPr>
        <w:jc w:val="both"/>
        <w:rPr>
          <w:rFonts w:ascii="Arial" w:hAnsi="Arial" w:cs="Arial"/>
          <w:sz w:val="20"/>
          <w:szCs w:val="20"/>
        </w:rPr>
      </w:pPr>
    </w:p>
    <w:p w14:paraId="6FF83E3D" w14:textId="77777777" w:rsidR="00284ABA" w:rsidRDefault="00284ABA" w:rsidP="005D7FD6">
      <w:pPr>
        <w:jc w:val="both"/>
        <w:rPr>
          <w:rFonts w:ascii="Arial" w:hAnsi="Arial" w:cs="Arial"/>
          <w:sz w:val="20"/>
          <w:szCs w:val="20"/>
        </w:rPr>
      </w:pPr>
    </w:p>
    <w:p w14:paraId="21789190" w14:textId="77777777" w:rsidR="00284ABA" w:rsidRDefault="00284ABA" w:rsidP="005D7FD6">
      <w:pPr>
        <w:jc w:val="both"/>
        <w:rPr>
          <w:rFonts w:ascii="Arial" w:hAnsi="Arial" w:cs="Arial"/>
          <w:sz w:val="20"/>
          <w:szCs w:val="20"/>
        </w:rPr>
      </w:pPr>
    </w:p>
    <w:p w14:paraId="29750E44" w14:textId="77777777" w:rsidR="00284ABA" w:rsidRDefault="00284ABA" w:rsidP="005D7FD6">
      <w:pPr>
        <w:jc w:val="both"/>
        <w:rPr>
          <w:rFonts w:ascii="Arial" w:hAnsi="Arial" w:cs="Arial"/>
          <w:sz w:val="20"/>
          <w:szCs w:val="20"/>
        </w:rPr>
      </w:pPr>
    </w:p>
    <w:p w14:paraId="0AB10F16" w14:textId="77777777" w:rsidR="00284ABA" w:rsidRDefault="00284ABA" w:rsidP="005D7FD6">
      <w:pPr>
        <w:jc w:val="both"/>
        <w:rPr>
          <w:rFonts w:ascii="Arial" w:hAnsi="Arial" w:cs="Arial"/>
          <w:sz w:val="20"/>
          <w:szCs w:val="20"/>
        </w:rPr>
      </w:pPr>
    </w:p>
    <w:p w14:paraId="459C844D" w14:textId="77777777" w:rsidR="005A439E" w:rsidRPr="003928DE" w:rsidRDefault="005A439E" w:rsidP="005D7FD6">
      <w:pPr>
        <w:jc w:val="both"/>
        <w:rPr>
          <w:rFonts w:ascii="Arial" w:hAnsi="Arial" w:cs="Arial"/>
          <w:sz w:val="20"/>
          <w:szCs w:val="20"/>
        </w:rPr>
      </w:pPr>
    </w:p>
    <w:p w14:paraId="208C587D" w14:textId="77777777" w:rsidR="005A439E" w:rsidRPr="003928DE" w:rsidRDefault="00DE364C" w:rsidP="00DE364C">
      <w:pPr>
        <w:pStyle w:val="Heading1"/>
      </w:pPr>
      <w:r>
        <w:rPr>
          <w:rFonts w:ascii="Arial" w:hAnsi="Arial" w:cs="Arial"/>
          <w:sz w:val="22"/>
          <w:szCs w:val="22"/>
        </w:rPr>
        <w:lastRenderedPageBreak/>
        <w:t xml:space="preserve"> </w:t>
      </w:r>
      <w:r w:rsidR="005A439E" w:rsidRPr="00DE364C">
        <w:rPr>
          <w:rFonts w:ascii="Arial" w:hAnsi="Arial" w:cs="Arial"/>
          <w:sz w:val="22"/>
          <w:szCs w:val="22"/>
        </w:rPr>
        <w:t>Critical Business Constituents, Banks, and Counter-Parti</w:t>
      </w:r>
      <w:r w:rsidR="005A439E" w:rsidRPr="003928DE">
        <w:t xml:space="preserve">es </w:t>
      </w:r>
    </w:p>
    <w:p w14:paraId="432B7712" w14:textId="77777777" w:rsidR="005A439E" w:rsidRPr="003928DE" w:rsidRDefault="005A439E" w:rsidP="005D7FD6">
      <w:pPr>
        <w:jc w:val="both"/>
        <w:rPr>
          <w:rFonts w:ascii="Arial" w:hAnsi="Arial" w:cs="Arial"/>
          <w:sz w:val="20"/>
          <w:szCs w:val="20"/>
        </w:rPr>
      </w:pPr>
    </w:p>
    <w:p w14:paraId="7583C833" w14:textId="77777777" w:rsidR="005A439E" w:rsidRPr="003928DE" w:rsidRDefault="005A439E" w:rsidP="005D7FD6">
      <w:pPr>
        <w:pStyle w:val="Heading2"/>
        <w:jc w:val="both"/>
        <w:rPr>
          <w:rFonts w:ascii="Arial" w:hAnsi="Arial" w:cs="Arial"/>
          <w:sz w:val="22"/>
          <w:szCs w:val="22"/>
        </w:rPr>
      </w:pPr>
      <w:r w:rsidRPr="003928DE">
        <w:rPr>
          <w:rFonts w:ascii="Arial" w:hAnsi="Arial" w:cs="Arial"/>
          <w:sz w:val="22"/>
          <w:szCs w:val="22"/>
        </w:rPr>
        <w:t>Business constituents</w:t>
      </w:r>
    </w:p>
    <w:p w14:paraId="5BA4447C" w14:textId="77777777" w:rsidR="005A439E" w:rsidRPr="003928DE" w:rsidRDefault="005A439E" w:rsidP="005D7FD6">
      <w:pPr>
        <w:jc w:val="both"/>
        <w:rPr>
          <w:rFonts w:ascii="Arial" w:hAnsi="Arial" w:cs="Arial"/>
          <w:color w:val="000000"/>
          <w:sz w:val="20"/>
          <w:szCs w:val="20"/>
        </w:rPr>
      </w:pPr>
    </w:p>
    <w:p w14:paraId="47E441E8" w14:textId="77777777" w:rsidR="005A439E" w:rsidRDefault="005A439E" w:rsidP="00DF7560">
      <w:pPr>
        <w:ind w:left="720"/>
        <w:rPr>
          <w:rFonts w:ascii="Arial" w:hAnsi="Arial" w:cs="Arial"/>
          <w:sz w:val="20"/>
          <w:szCs w:val="20"/>
        </w:rPr>
      </w:pPr>
      <w:r w:rsidRPr="00DF7560">
        <w:rPr>
          <w:rFonts w:ascii="Arial" w:hAnsi="Arial" w:cs="Arial"/>
          <w:sz w:val="20"/>
          <w:szCs w:val="20"/>
        </w:rPr>
        <w:t xml:space="preserve">We have contacted our critical business constituents (businesses with which we have an ongoing commercial relationship in support of our operating activities, such as vendors providing us critical services), and determined the extent to which we can continue our business relationship with them in light of the internal or external SBD.  We will quickly establish alternative arrangements if a business constituent can no longer provide the needed goods or services when we need them because of a SBD to them or our firm.  Our major constituents are: </w:t>
      </w:r>
    </w:p>
    <w:p w14:paraId="1AC13A99" w14:textId="77777777" w:rsidR="005A439E" w:rsidRDefault="005A439E" w:rsidP="00DF7560">
      <w:pPr>
        <w:ind w:left="720"/>
        <w:rPr>
          <w:rFonts w:ascii="Arial" w:hAnsi="Arial" w:cs="Arial"/>
          <w:sz w:val="20"/>
          <w:szCs w:val="20"/>
        </w:rPr>
      </w:pPr>
    </w:p>
    <w:p w14:paraId="01F1C6D8" w14:textId="77777777" w:rsidR="005A439E" w:rsidRDefault="005A439E" w:rsidP="00DF7560">
      <w:pPr>
        <w:ind w:left="720"/>
        <w:rPr>
          <w:rFonts w:ascii="Arial" w:hAnsi="Arial" w:cs="Arial"/>
          <w:sz w:val="20"/>
          <w:szCs w:val="20"/>
        </w:rPr>
      </w:pPr>
      <w:r w:rsidRPr="00DF7560">
        <w:rPr>
          <w:rFonts w:ascii="Arial" w:hAnsi="Arial" w:cs="Arial"/>
          <w:sz w:val="20"/>
          <w:szCs w:val="20"/>
        </w:rPr>
        <w:t xml:space="preserve">The Message Center Team  </w:t>
      </w:r>
    </w:p>
    <w:p w14:paraId="3365F5FB" w14:textId="77777777" w:rsidR="005A439E" w:rsidRDefault="00000000" w:rsidP="00DF7560">
      <w:pPr>
        <w:ind w:left="720"/>
        <w:rPr>
          <w:rFonts w:ascii="Arial" w:hAnsi="Arial" w:cs="Arial"/>
          <w:sz w:val="20"/>
          <w:szCs w:val="20"/>
        </w:rPr>
      </w:pPr>
      <w:hyperlink r:id="rId8" w:history="1">
        <w:r w:rsidR="005A439E" w:rsidRPr="00DF7560">
          <w:rPr>
            <w:rStyle w:val="Hyperlink"/>
            <w:rFonts w:ascii="Arial" w:hAnsi="Arial" w:cs="Arial"/>
            <w:sz w:val="20"/>
            <w:szCs w:val="20"/>
          </w:rPr>
          <w:t>www.themessagecenter.com</w:t>
        </w:r>
      </w:hyperlink>
      <w:r w:rsidR="005A439E" w:rsidRPr="00DF7560">
        <w:rPr>
          <w:rFonts w:ascii="Arial" w:hAnsi="Arial" w:cs="Arial"/>
          <w:sz w:val="20"/>
          <w:szCs w:val="20"/>
        </w:rPr>
        <w:t xml:space="preserve"> </w:t>
      </w:r>
    </w:p>
    <w:p w14:paraId="699A69C9" w14:textId="77777777" w:rsidR="005A439E" w:rsidRDefault="005A439E" w:rsidP="00DF7560">
      <w:pPr>
        <w:ind w:left="720"/>
        <w:rPr>
          <w:rFonts w:ascii="Arial" w:hAnsi="Arial" w:cs="Arial"/>
          <w:sz w:val="20"/>
          <w:szCs w:val="20"/>
        </w:rPr>
      </w:pPr>
      <w:r w:rsidRPr="00DF7560">
        <w:rPr>
          <w:rFonts w:ascii="Arial" w:hAnsi="Arial" w:cs="Arial"/>
          <w:sz w:val="20"/>
          <w:szCs w:val="20"/>
        </w:rPr>
        <w:t xml:space="preserve">415-762-0090 </w:t>
      </w:r>
    </w:p>
    <w:p w14:paraId="63D93F6D" w14:textId="77777777" w:rsidR="005A439E" w:rsidRDefault="005A439E" w:rsidP="00DF7560">
      <w:pPr>
        <w:ind w:left="720"/>
        <w:rPr>
          <w:rFonts w:ascii="Arial" w:hAnsi="Arial" w:cs="Arial"/>
          <w:sz w:val="20"/>
          <w:szCs w:val="20"/>
        </w:rPr>
      </w:pPr>
    </w:p>
    <w:p w14:paraId="3217DA2C" w14:textId="5AFFCD7D" w:rsidR="00E66DDF" w:rsidRPr="000F148A" w:rsidRDefault="000F148A" w:rsidP="00DF7560">
      <w:pPr>
        <w:ind w:left="720"/>
        <w:rPr>
          <w:rFonts w:ascii="Arial" w:hAnsi="Arial" w:cs="Arial"/>
          <w:color w:val="000000"/>
          <w:sz w:val="20"/>
          <w:szCs w:val="20"/>
          <w:lang w:val="es-ES"/>
        </w:rPr>
      </w:pPr>
      <w:r w:rsidRPr="000F148A">
        <w:rPr>
          <w:b/>
          <w:bCs/>
          <w:i/>
          <w:iCs/>
          <w:color w:val="595959"/>
          <w:lang w:val="es-ES"/>
        </w:rPr>
        <w:t>Nima Aminian, CPA</w:t>
      </w:r>
      <w:r w:rsidRPr="000F148A">
        <w:rPr>
          <w:b/>
          <w:bCs/>
          <w:color w:val="595959"/>
          <w:sz w:val="20"/>
          <w:szCs w:val="20"/>
          <w:lang w:val="es-ES"/>
        </w:rPr>
        <w:t xml:space="preserve"> </w:t>
      </w:r>
      <w:r w:rsidRPr="000F148A">
        <w:rPr>
          <w:b/>
          <w:bCs/>
          <w:color w:val="595959"/>
          <w:sz w:val="20"/>
          <w:szCs w:val="20"/>
          <w:lang w:val="es-ES"/>
        </w:rPr>
        <w:br/>
      </w:r>
      <w:r w:rsidRPr="000F148A">
        <w:rPr>
          <w:b/>
          <w:bCs/>
          <w:i/>
          <w:iCs/>
          <w:color w:val="595959"/>
          <w:sz w:val="20"/>
          <w:szCs w:val="20"/>
          <w:lang w:val="es-ES"/>
        </w:rPr>
        <w:br/>
      </w:r>
      <w:r>
        <w:rPr>
          <w:noProof/>
          <w:sz w:val="22"/>
          <w:szCs w:val="22"/>
        </w:rPr>
        <w:drawing>
          <wp:inline distT="0" distB="0" distL="0" distR="0" wp14:anchorId="60E48260" wp14:editId="42233046">
            <wp:extent cx="1876425" cy="476250"/>
            <wp:effectExtent l="0" t="0" r="9525" b="0"/>
            <wp:docPr id="208724091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76425" cy="476250"/>
                    </a:xfrm>
                    <a:prstGeom prst="rect">
                      <a:avLst/>
                    </a:prstGeom>
                    <a:noFill/>
                    <a:ln>
                      <a:noFill/>
                    </a:ln>
                  </pic:spPr>
                </pic:pic>
              </a:graphicData>
            </a:graphic>
          </wp:inline>
        </w:drawing>
      </w:r>
      <w:r w:rsidRPr="000F148A">
        <w:rPr>
          <w:sz w:val="22"/>
          <w:szCs w:val="22"/>
          <w:lang w:val="es-ES"/>
        </w:rPr>
        <w:br/>
      </w:r>
      <w:r w:rsidRPr="000F148A">
        <w:rPr>
          <w:b/>
          <w:bCs/>
          <w:i/>
          <w:iCs/>
          <w:color w:val="595959"/>
          <w:sz w:val="20"/>
          <w:szCs w:val="20"/>
          <w:lang w:val="es-ES"/>
        </w:rPr>
        <w:t xml:space="preserve">23801 </w:t>
      </w:r>
      <w:proofErr w:type="spellStart"/>
      <w:r w:rsidRPr="000F148A">
        <w:rPr>
          <w:b/>
          <w:bCs/>
          <w:i/>
          <w:iCs/>
          <w:color w:val="595959"/>
          <w:sz w:val="20"/>
          <w:szCs w:val="20"/>
          <w:lang w:val="es-ES"/>
        </w:rPr>
        <w:t>Calabasas</w:t>
      </w:r>
      <w:proofErr w:type="spellEnd"/>
      <w:r w:rsidRPr="000F148A">
        <w:rPr>
          <w:b/>
          <w:bCs/>
          <w:i/>
          <w:iCs/>
          <w:color w:val="595959"/>
          <w:sz w:val="20"/>
          <w:szCs w:val="20"/>
          <w:lang w:val="es-ES"/>
        </w:rPr>
        <w:t xml:space="preserve"> Road, Suite 2004</w:t>
      </w:r>
      <w:r w:rsidRPr="000F148A">
        <w:rPr>
          <w:b/>
          <w:bCs/>
          <w:i/>
          <w:iCs/>
          <w:color w:val="595959"/>
          <w:sz w:val="20"/>
          <w:szCs w:val="20"/>
          <w:lang w:val="es-ES"/>
        </w:rPr>
        <w:br/>
      </w:r>
      <w:proofErr w:type="spellStart"/>
      <w:r w:rsidRPr="000F148A">
        <w:rPr>
          <w:b/>
          <w:bCs/>
          <w:i/>
          <w:iCs/>
          <w:color w:val="595959"/>
          <w:sz w:val="20"/>
          <w:szCs w:val="20"/>
          <w:lang w:val="es-ES"/>
        </w:rPr>
        <w:t>Calabasas</w:t>
      </w:r>
      <w:proofErr w:type="spellEnd"/>
      <w:r w:rsidRPr="000F148A">
        <w:rPr>
          <w:b/>
          <w:bCs/>
          <w:i/>
          <w:iCs/>
          <w:color w:val="595959"/>
          <w:sz w:val="20"/>
          <w:szCs w:val="20"/>
          <w:lang w:val="es-ES"/>
        </w:rPr>
        <w:t>, CA 91302</w:t>
      </w:r>
      <w:r w:rsidRPr="000F148A">
        <w:rPr>
          <w:b/>
          <w:bCs/>
          <w:i/>
          <w:iCs/>
          <w:color w:val="595959"/>
          <w:sz w:val="20"/>
          <w:szCs w:val="20"/>
          <w:lang w:val="es-ES"/>
        </w:rPr>
        <w:br/>
      </w:r>
      <w:r w:rsidRPr="000F148A">
        <w:rPr>
          <w:b/>
          <w:bCs/>
          <w:i/>
          <w:iCs/>
          <w:color w:val="595959"/>
          <w:sz w:val="20"/>
          <w:szCs w:val="20"/>
          <w:lang w:val="es-ES"/>
        </w:rPr>
        <w:br/>
      </w:r>
      <w:r w:rsidRPr="000F148A">
        <w:rPr>
          <w:b/>
          <w:bCs/>
          <w:color w:val="0D0D0D"/>
          <w:sz w:val="20"/>
          <w:szCs w:val="20"/>
          <w:lang w:val="es-ES"/>
        </w:rPr>
        <w:t>Tel:</w:t>
      </w:r>
      <w:r w:rsidRPr="000F148A">
        <w:rPr>
          <w:b/>
          <w:bCs/>
          <w:color w:val="595959"/>
          <w:sz w:val="20"/>
          <w:szCs w:val="20"/>
          <w:lang w:val="es-ES"/>
        </w:rPr>
        <w:t xml:space="preserve"> 818-721-8078 </w:t>
      </w:r>
      <w:r w:rsidRPr="000F148A">
        <w:rPr>
          <w:b/>
          <w:bCs/>
          <w:color w:val="595959"/>
          <w:sz w:val="20"/>
          <w:szCs w:val="20"/>
          <w:lang w:val="es-ES"/>
        </w:rPr>
        <w:br/>
      </w:r>
      <w:r w:rsidRPr="000F148A">
        <w:rPr>
          <w:b/>
          <w:bCs/>
          <w:color w:val="0D0D0D"/>
          <w:sz w:val="20"/>
          <w:szCs w:val="20"/>
          <w:lang w:val="es-ES"/>
        </w:rPr>
        <w:t>Fax:</w:t>
      </w:r>
      <w:r w:rsidRPr="000F148A">
        <w:rPr>
          <w:b/>
          <w:bCs/>
          <w:color w:val="595959"/>
          <w:sz w:val="20"/>
          <w:szCs w:val="20"/>
          <w:lang w:val="es-ES"/>
        </w:rPr>
        <w:t xml:space="preserve"> 818-436-5291</w:t>
      </w:r>
      <w:r w:rsidRPr="000F148A">
        <w:rPr>
          <w:b/>
          <w:bCs/>
          <w:color w:val="595959"/>
          <w:sz w:val="20"/>
          <w:szCs w:val="20"/>
          <w:lang w:val="es-ES"/>
        </w:rPr>
        <w:br/>
      </w:r>
      <w:r w:rsidRPr="000F148A">
        <w:rPr>
          <w:b/>
          <w:bCs/>
          <w:color w:val="595959"/>
          <w:sz w:val="20"/>
          <w:szCs w:val="20"/>
          <w:lang w:val="es-ES"/>
        </w:rPr>
        <w:br/>
      </w:r>
      <w:hyperlink r:id="rId11" w:history="1">
        <w:r w:rsidRPr="000F148A">
          <w:rPr>
            <w:rStyle w:val="Hyperlink"/>
            <w:b/>
            <w:bCs/>
            <w:color w:val="044A91"/>
            <w:sz w:val="20"/>
            <w:szCs w:val="20"/>
            <w:lang w:val="es-ES"/>
          </w:rPr>
          <w:t>www.alamircpas.com</w:t>
        </w:r>
      </w:hyperlink>
    </w:p>
    <w:p w14:paraId="58199669" w14:textId="77777777" w:rsidR="005A439E" w:rsidRPr="000F148A" w:rsidRDefault="005A439E" w:rsidP="005D7FD6">
      <w:pPr>
        <w:jc w:val="both"/>
        <w:rPr>
          <w:rFonts w:ascii="Arial" w:hAnsi="Arial" w:cs="Arial"/>
          <w:color w:val="000000"/>
          <w:sz w:val="20"/>
          <w:szCs w:val="20"/>
          <w:lang w:val="es-ES"/>
        </w:rPr>
      </w:pPr>
    </w:p>
    <w:p w14:paraId="68AC1E79" w14:textId="77777777" w:rsidR="005A439E" w:rsidRPr="003928DE" w:rsidRDefault="005A439E" w:rsidP="005D7FD6">
      <w:pPr>
        <w:ind w:firstLine="720"/>
        <w:jc w:val="both"/>
        <w:rPr>
          <w:rFonts w:ascii="Arial" w:hAnsi="Arial" w:cs="Arial"/>
          <w:color w:val="000000"/>
          <w:sz w:val="20"/>
          <w:szCs w:val="20"/>
        </w:rPr>
      </w:pPr>
      <w:r w:rsidRPr="003928DE">
        <w:rPr>
          <w:rFonts w:ascii="Arial" w:hAnsi="Arial" w:cs="Arial"/>
          <w:i/>
          <w:sz w:val="20"/>
          <w:szCs w:val="20"/>
          <w:u w:val="single"/>
        </w:rPr>
        <w:t>Rules:</w:t>
      </w:r>
      <w:r w:rsidRPr="003928DE">
        <w:rPr>
          <w:rFonts w:ascii="Arial" w:hAnsi="Arial" w:cs="Arial"/>
          <w:i/>
          <w:sz w:val="20"/>
          <w:szCs w:val="20"/>
        </w:rPr>
        <w:t xml:space="preserve">  </w:t>
      </w:r>
      <w:r w:rsidR="006928B4">
        <w:rPr>
          <w:rFonts w:ascii="Arial" w:hAnsi="Arial" w:cs="Arial"/>
          <w:i/>
          <w:sz w:val="20"/>
          <w:szCs w:val="20"/>
        </w:rPr>
        <w:t xml:space="preserve">FINRA Rule 4370 </w:t>
      </w:r>
      <w:r w:rsidRPr="003928DE">
        <w:rPr>
          <w:rFonts w:ascii="Arial" w:hAnsi="Arial" w:cs="Arial"/>
          <w:i/>
          <w:sz w:val="20"/>
          <w:szCs w:val="20"/>
        </w:rPr>
        <w:t>(c)(7).</w:t>
      </w:r>
    </w:p>
    <w:p w14:paraId="2E19EA1D" w14:textId="77777777" w:rsidR="005A439E" w:rsidRPr="003928DE" w:rsidRDefault="005A439E" w:rsidP="005D7FD6">
      <w:pPr>
        <w:jc w:val="both"/>
        <w:rPr>
          <w:rFonts w:ascii="Arial" w:hAnsi="Arial" w:cs="Arial"/>
          <w:color w:val="000000"/>
          <w:sz w:val="20"/>
          <w:szCs w:val="20"/>
        </w:rPr>
      </w:pPr>
    </w:p>
    <w:p w14:paraId="3337326D" w14:textId="77777777" w:rsidR="005A439E" w:rsidRPr="003928DE" w:rsidRDefault="005A439E" w:rsidP="005D7FD6">
      <w:pPr>
        <w:pStyle w:val="Heading2"/>
        <w:jc w:val="both"/>
        <w:rPr>
          <w:rFonts w:ascii="Arial" w:hAnsi="Arial" w:cs="Arial"/>
          <w:sz w:val="22"/>
          <w:szCs w:val="22"/>
        </w:rPr>
      </w:pPr>
      <w:r w:rsidRPr="003928DE">
        <w:rPr>
          <w:rFonts w:ascii="Arial" w:hAnsi="Arial" w:cs="Arial"/>
          <w:sz w:val="22"/>
          <w:szCs w:val="22"/>
        </w:rPr>
        <w:t>Banks</w:t>
      </w:r>
    </w:p>
    <w:p w14:paraId="67965BE8" w14:textId="77777777" w:rsidR="005A439E" w:rsidRPr="003928DE" w:rsidRDefault="005A439E" w:rsidP="005D7FD6">
      <w:pPr>
        <w:jc w:val="both"/>
        <w:rPr>
          <w:rFonts w:ascii="Arial" w:hAnsi="Arial" w:cs="Arial"/>
          <w:i/>
          <w:iCs/>
          <w:color w:val="000000"/>
          <w:sz w:val="20"/>
          <w:szCs w:val="20"/>
        </w:rPr>
      </w:pPr>
    </w:p>
    <w:p w14:paraId="0E50CB18" w14:textId="77777777" w:rsidR="005A439E" w:rsidRDefault="005A439E" w:rsidP="005D7FD6">
      <w:pPr>
        <w:ind w:left="720"/>
        <w:jc w:val="both"/>
        <w:rPr>
          <w:rFonts w:ascii="Arial" w:hAnsi="Arial" w:cs="Arial"/>
          <w:color w:val="000000"/>
          <w:sz w:val="20"/>
          <w:szCs w:val="20"/>
        </w:rPr>
      </w:pPr>
      <w:r w:rsidRPr="003928DE">
        <w:rPr>
          <w:rFonts w:ascii="Arial" w:hAnsi="Arial" w:cs="Arial"/>
          <w:color w:val="000000"/>
          <w:sz w:val="20"/>
          <w:szCs w:val="20"/>
        </w:rPr>
        <w:t xml:space="preserve">We have contacted our banks and lenders to determine if they can continue to provide the financing that we will need in light of the internal or external SBD.  The bank maintaining our operating account is: </w:t>
      </w:r>
      <w:r>
        <w:rPr>
          <w:rFonts w:ascii="Arial" w:hAnsi="Arial" w:cs="Arial"/>
          <w:color w:val="000000"/>
          <w:sz w:val="20"/>
          <w:szCs w:val="20"/>
        </w:rPr>
        <w:t>Union Bank of California, 1101 Montana Ave., Santa Monica, CA 90403.  The phone number is (310) 451-4898 and our main contact is Jeanette Perez</w:t>
      </w:r>
      <w:r w:rsidRPr="003928DE">
        <w:rPr>
          <w:rFonts w:ascii="Arial" w:hAnsi="Arial" w:cs="Arial"/>
          <w:color w:val="000000"/>
          <w:sz w:val="20"/>
          <w:szCs w:val="20"/>
        </w:rPr>
        <w:t>.</w:t>
      </w:r>
      <w:r>
        <w:rPr>
          <w:rFonts w:ascii="Arial" w:hAnsi="Arial" w:cs="Arial"/>
          <w:color w:val="000000"/>
          <w:sz w:val="20"/>
          <w:szCs w:val="20"/>
        </w:rPr>
        <w:t xml:space="preserve">  </w:t>
      </w:r>
      <w:r w:rsidRPr="003928DE">
        <w:rPr>
          <w:rFonts w:ascii="Arial" w:hAnsi="Arial" w:cs="Arial"/>
          <w:color w:val="000000"/>
          <w:sz w:val="20"/>
          <w:szCs w:val="20"/>
        </w:rPr>
        <w:t xml:space="preserve">If our banks and other lenders are unable to provide the financing, we will seek alternative financing immediately from </w:t>
      </w:r>
      <w:r>
        <w:rPr>
          <w:rFonts w:ascii="Arial" w:hAnsi="Arial" w:cs="Arial"/>
          <w:color w:val="000000"/>
          <w:sz w:val="20"/>
          <w:szCs w:val="20"/>
        </w:rPr>
        <w:t>its</w:t>
      </w:r>
      <w:r w:rsidR="00E66DDF">
        <w:rPr>
          <w:rFonts w:ascii="Arial" w:hAnsi="Arial" w:cs="Arial"/>
          <w:color w:val="000000"/>
          <w:sz w:val="20"/>
          <w:szCs w:val="20"/>
        </w:rPr>
        <w:t xml:space="preserve"> parent company Triple A Partners</w:t>
      </w:r>
      <w:r>
        <w:rPr>
          <w:rFonts w:ascii="Arial" w:hAnsi="Arial" w:cs="Arial"/>
          <w:color w:val="000000"/>
          <w:sz w:val="20"/>
          <w:szCs w:val="20"/>
        </w:rPr>
        <w:t xml:space="preserve"> Inc.</w:t>
      </w:r>
    </w:p>
    <w:p w14:paraId="4C8C1C34" w14:textId="77777777" w:rsidR="00DE364C" w:rsidRDefault="00DE364C" w:rsidP="005D7FD6">
      <w:pPr>
        <w:ind w:left="720"/>
        <w:jc w:val="both"/>
        <w:rPr>
          <w:rFonts w:ascii="Arial" w:hAnsi="Arial" w:cs="Arial"/>
          <w:color w:val="000000"/>
          <w:sz w:val="20"/>
          <w:szCs w:val="20"/>
        </w:rPr>
      </w:pPr>
    </w:p>
    <w:p w14:paraId="3622D17B" w14:textId="77777777" w:rsidR="00DE364C" w:rsidRPr="00DE364C" w:rsidRDefault="00DE364C" w:rsidP="005D7FD6">
      <w:pPr>
        <w:ind w:left="720"/>
        <w:jc w:val="both"/>
        <w:rPr>
          <w:rFonts w:ascii="Arial" w:hAnsi="Arial" w:cs="Arial"/>
          <w:i/>
          <w:color w:val="000000"/>
          <w:sz w:val="20"/>
          <w:szCs w:val="20"/>
        </w:rPr>
      </w:pPr>
      <w:r>
        <w:rPr>
          <w:rFonts w:ascii="Arial" w:hAnsi="Arial" w:cs="Arial"/>
          <w:i/>
          <w:color w:val="000000"/>
          <w:sz w:val="20"/>
          <w:szCs w:val="20"/>
        </w:rPr>
        <w:t>Rules: FINRA Rule 4370 (c)(7)</w:t>
      </w:r>
    </w:p>
    <w:p w14:paraId="70CB264F" w14:textId="77777777" w:rsidR="00DE364C" w:rsidRPr="003928DE" w:rsidRDefault="00DE364C" w:rsidP="005D7FD6">
      <w:pPr>
        <w:ind w:left="720"/>
        <w:jc w:val="both"/>
        <w:rPr>
          <w:rFonts w:ascii="Arial" w:hAnsi="Arial" w:cs="Arial"/>
          <w:color w:val="000000"/>
          <w:sz w:val="20"/>
          <w:szCs w:val="20"/>
        </w:rPr>
      </w:pPr>
    </w:p>
    <w:p w14:paraId="3C89A19B" w14:textId="77777777" w:rsidR="005A439E" w:rsidRPr="003928DE" w:rsidRDefault="005A439E" w:rsidP="005D7FD6">
      <w:pPr>
        <w:pStyle w:val="Heading2"/>
        <w:jc w:val="both"/>
        <w:rPr>
          <w:rFonts w:ascii="Arial" w:hAnsi="Arial" w:cs="Arial"/>
          <w:sz w:val="22"/>
          <w:szCs w:val="22"/>
        </w:rPr>
      </w:pPr>
      <w:r w:rsidRPr="003928DE">
        <w:rPr>
          <w:rFonts w:ascii="Arial" w:hAnsi="Arial" w:cs="Arial"/>
          <w:sz w:val="22"/>
          <w:szCs w:val="22"/>
        </w:rPr>
        <w:t>Counter-Parties</w:t>
      </w:r>
    </w:p>
    <w:p w14:paraId="0709895C" w14:textId="77777777" w:rsidR="005A439E" w:rsidRPr="003928DE" w:rsidRDefault="005A439E" w:rsidP="005D7FD6">
      <w:pPr>
        <w:jc w:val="both"/>
        <w:rPr>
          <w:rFonts w:ascii="Arial" w:hAnsi="Arial" w:cs="Arial"/>
          <w:i/>
          <w:iCs/>
          <w:color w:val="000000"/>
          <w:sz w:val="20"/>
          <w:szCs w:val="20"/>
        </w:rPr>
      </w:pPr>
    </w:p>
    <w:p w14:paraId="13E73DEE" w14:textId="77777777" w:rsidR="005A439E" w:rsidRPr="003928DE" w:rsidRDefault="005A439E" w:rsidP="005D7FD6">
      <w:pPr>
        <w:ind w:left="720"/>
        <w:jc w:val="both"/>
        <w:rPr>
          <w:rFonts w:ascii="Arial" w:hAnsi="Arial" w:cs="Arial"/>
          <w:color w:val="000000"/>
          <w:sz w:val="20"/>
          <w:szCs w:val="20"/>
        </w:rPr>
      </w:pPr>
      <w:r w:rsidRPr="003928DE">
        <w:rPr>
          <w:rFonts w:ascii="Arial" w:hAnsi="Arial" w:cs="Arial"/>
          <w:color w:val="000000"/>
          <w:sz w:val="20"/>
          <w:szCs w:val="20"/>
        </w:rPr>
        <w:t xml:space="preserve">We have contacted our critical counter-parties, such as other broker-dealers or institutional customers, to determine if we will be able to carry out our transactions with them in light of the internal or external SBD.  Where the transactions cannot be completed, we will work with our clearing firm or contact those counter-parties directly to make alternative arrangements to complete those transactions as soon as possible. </w:t>
      </w:r>
    </w:p>
    <w:p w14:paraId="293F8D15" w14:textId="77777777" w:rsidR="005A439E" w:rsidRPr="003928DE" w:rsidRDefault="005A439E" w:rsidP="005D7FD6">
      <w:pPr>
        <w:jc w:val="both"/>
        <w:rPr>
          <w:rFonts w:ascii="Arial" w:hAnsi="Arial" w:cs="Arial"/>
          <w:color w:val="000000"/>
          <w:sz w:val="20"/>
          <w:szCs w:val="20"/>
        </w:rPr>
      </w:pPr>
    </w:p>
    <w:p w14:paraId="06142C42" w14:textId="77777777" w:rsidR="005A439E" w:rsidRPr="003928DE" w:rsidRDefault="005A439E" w:rsidP="005D7FD6">
      <w:pPr>
        <w:ind w:firstLine="720"/>
        <w:jc w:val="both"/>
        <w:rPr>
          <w:rFonts w:ascii="Arial" w:hAnsi="Arial" w:cs="Arial"/>
          <w:color w:val="000000"/>
          <w:sz w:val="20"/>
          <w:szCs w:val="20"/>
        </w:rPr>
      </w:pPr>
      <w:r w:rsidRPr="003928DE">
        <w:rPr>
          <w:rFonts w:ascii="Arial" w:hAnsi="Arial" w:cs="Arial"/>
          <w:i/>
          <w:sz w:val="20"/>
          <w:szCs w:val="20"/>
          <w:u w:val="single"/>
        </w:rPr>
        <w:t>Rules:</w:t>
      </w:r>
      <w:r w:rsidRPr="003928DE">
        <w:rPr>
          <w:rFonts w:ascii="Arial" w:hAnsi="Arial" w:cs="Arial"/>
          <w:i/>
          <w:sz w:val="20"/>
          <w:szCs w:val="20"/>
        </w:rPr>
        <w:t xml:space="preserve"> </w:t>
      </w:r>
      <w:r w:rsidR="006928B4">
        <w:rPr>
          <w:rFonts w:ascii="Arial" w:hAnsi="Arial" w:cs="Arial"/>
          <w:i/>
          <w:sz w:val="20"/>
          <w:szCs w:val="20"/>
        </w:rPr>
        <w:t xml:space="preserve">FINRA Rule 4370 </w:t>
      </w:r>
      <w:r w:rsidRPr="003928DE">
        <w:rPr>
          <w:rFonts w:ascii="Arial" w:hAnsi="Arial" w:cs="Arial"/>
          <w:i/>
          <w:sz w:val="20"/>
          <w:szCs w:val="20"/>
        </w:rPr>
        <w:t>(a) &amp;(c)(7).</w:t>
      </w:r>
    </w:p>
    <w:p w14:paraId="4EF29A58" w14:textId="77777777" w:rsidR="005A439E" w:rsidRPr="00DF7560" w:rsidRDefault="005A439E" w:rsidP="005D7FD6">
      <w:pPr>
        <w:jc w:val="both"/>
        <w:rPr>
          <w:rFonts w:ascii="Arial" w:hAnsi="Arial" w:cs="Arial"/>
          <w:color w:val="000000"/>
          <w:sz w:val="20"/>
          <w:szCs w:val="20"/>
        </w:rPr>
      </w:pPr>
    </w:p>
    <w:p w14:paraId="4C180EEA" w14:textId="77777777" w:rsidR="005A439E" w:rsidRPr="00DF7560" w:rsidRDefault="005A439E" w:rsidP="005D7FD6">
      <w:pPr>
        <w:jc w:val="both"/>
        <w:rPr>
          <w:rFonts w:ascii="Arial" w:hAnsi="Arial" w:cs="Arial"/>
          <w:color w:val="000000"/>
          <w:sz w:val="20"/>
          <w:szCs w:val="20"/>
        </w:rPr>
      </w:pPr>
    </w:p>
    <w:p w14:paraId="520104E4" w14:textId="77777777" w:rsidR="005A439E" w:rsidRPr="003928DE" w:rsidRDefault="005A439E" w:rsidP="005D7FD6">
      <w:pPr>
        <w:pStyle w:val="Heading1"/>
        <w:tabs>
          <w:tab w:val="clear" w:pos="360"/>
        </w:tabs>
        <w:jc w:val="both"/>
        <w:rPr>
          <w:rFonts w:ascii="Arial" w:hAnsi="Arial" w:cs="Arial"/>
          <w:sz w:val="22"/>
          <w:szCs w:val="22"/>
        </w:rPr>
      </w:pPr>
      <w:r w:rsidRPr="003928DE">
        <w:rPr>
          <w:rFonts w:ascii="Arial" w:hAnsi="Arial" w:cs="Arial"/>
          <w:sz w:val="22"/>
          <w:szCs w:val="22"/>
        </w:rPr>
        <w:t>Regulatory Reporting</w:t>
      </w:r>
    </w:p>
    <w:p w14:paraId="0C258F86" w14:textId="77777777" w:rsidR="005A439E" w:rsidRPr="003928DE" w:rsidRDefault="005A439E" w:rsidP="005D7FD6">
      <w:pPr>
        <w:jc w:val="both"/>
        <w:rPr>
          <w:rFonts w:ascii="Arial" w:hAnsi="Arial" w:cs="Arial"/>
          <w:i/>
          <w:iCs/>
          <w:color w:val="000000"/>
          <w:sz w:val="20"/>
          <w:szCs w:val="20"/>
        </w:rPr>
      </w:pPr>
    </w:p>
    <w:p w14:paraId="17FFC25A" w14:textId="77777777" w:rsidR="005A439E" w:rsidRDefault="005A439E" w:rsidP="005D7FD6">
      <w:pPr>
        <w:jc w:val="both"/>
        <w:rPr>
          <w:rFonts w:ascii="Arial" w:hAnsi="Arial" w:cs="Arial"/>
          <w:sz w:val="20"/>
          <w:szCs w:val="20"/>
        </w:rPr>
      </w:pPr>
      <w:r w:rsidRPr="003928DE">
        <w:rPr>
          <w:rFonts w:ascii="Arial" w:hAnsi="Arial" w:cs="Arial"/>
          <w:sz w:val="20"/>
          <w:szCs w:val="20"/>
        </w:rPr>
        <w:lastRenderedPageBreak/>
        <w:t>Our firm is subject to regulation by</w:t>
      </w:r>
      <w:r>
        <w:rPr>
          <w:rFonts w:ascii="Arial" w:hAnsi="Arial" w:cs="Arial"/>
          <w:sz w:val="20"/>
          <w:szCs w:val="20"/>
        </w:rPr>
        <w:t xml:space="preserve"> the SEC, FINRA, and State regulated agencies in those </w:t>
      </w:r>
      <w:r w:rsidR="006928B4">
        <w:rPr>
          <w:rFonts w:ascii="Arial" w:hAnsi="Arial" w:cs="Arial"/>
          <w:sz w:val="20"/>
          <w:szCs w:val="20"/>
        </w:rPr>
        <w:t xml:space="preserve">jurisdictions </w:t>
      </w:r>
      <w:r>
        <w:rPr>
          <w:rFonts w:ascii="Arial" w:hAnsi="Arial" w:cs="Arial"/>
          <w:sz w:val="20"/>
          <w:szCs w:val="20"/>
        </w:rPr>
        <w:t xml:space="preserve">where the Firm is registered.  </w:t>
      </w:r>
      <w:r w:rsidRPr="003928DE">
        <w:rPr>
          <w:rFonts w:ascii="Arial" w:hAnsi="Arial" w:cs="Arial"/>
          <w:sz w:val="20"/>
          <w:szCs w:val="20"/>
        </w:rPr>
        <w:t xml:space="preserve">We now file reports with our regulators using paper copies in the U.S. mail, and electronically using fax, e-mail, and the Internet.  In the event of an SBD, </w:t>
      </w:r>
      <w:r w:rsidR="00827CA9">
        <w:rPr>
          <w:rFonts w:ascii="Arial" w:hAnsi="Arial" w:cs="Arial"/>
          <w:sz w:val="20"/>
          <w:szCs w:val="20"/>
        </w:rPr>
        <w:t>we will check with the SEC, FINRA</w:t>
      </w:r>
      <w:r w:rsidRPr="003928DE">
        <w:rPr>
          <w:rFonts w:ascii="Arial" w:hAnsi="Arial" w:cs="Arial"/>
          <w:sz w:val="20"/>
          <w:szCs w:val="20"/>
        </w:rPr>
        <w:t xml:space="preserve">, and other regulators to determine which means of filing are still available to us, and use the means closest in speed and form (written or oral) to our previous filing method.  In the event that we cannot contact our regulators, we will continue to file required reports using the communication means available to us.  </w:t>
      </w:r>
    </w:p>
    <w:p w14:paraId="49CFB2CA" w14:textId="77777777" w:rsidR="005A439E" w:rsidRPr="005D7FD6" w:rsidRDefault="005A439E" w:rsidP="00AC792B">
      <w:pPr>
        <w:ind w:left="1440" w:firstLine="720"/>
        <w:jc w:val="both"/>
        <w:rPr>
          <w:rFonts w:ascii="Arial" w:hAnsi="Arial" w:cs="Arial"/>
          <w:sz w:val="20"/>
          <w:szCs w:val="20"/>
        </w:rPr>
      </w:pPr>
      <w:r w:rsidRPr="005D7FD6">
        <w:rPr>
          <w:rFonts w:ascii="Arial" w:hAnsi="Arial" w:cs="Arial"/>
          <w:b/>
          <w:bCs/>
          <w:sz w:val="20"/>
          <w:szCs w:val="20"/>
        </w:rPr>
        <w:t xml:space="preserve">SEC </w:t>
      </w:r>
      <w:r>
        <w:rPr>
          <w:rFonts w:ascii="Arial" w:hAnsi="Arial" w:cs="Arial"/>
          <w:b/>
          <w:bCs/>
          <w:sz w:val="20"/>
          <w:szCs w:val="20"/>
        </w:rPr>
        <w:t>–</w:t>
      </w:r>
      <w:r w:rsidRPr="005D7FD6">
        <w:rPr>
          <w:rFonts w:ascii="Arial" w:hAnsi="Arial" w:cs="Arial"/>
          <w:b/>
          <w:bCs/>
          <w:sz w:val="20"/>
          <w:szCs w:val="20"/>
        </w:rPr>
        <w:t xml:space="preserve"> </w:t>
      </w:r>
      <w:r>
        <w:rPr>
          <w:rFonts w:ascii="Arial" w:hAnsi="Arial" w:cs="Arial"/>
          <w:b/>
          <w:bCs/>
          <w:sz w:val="20"/>
          <w:szCs w:val="20"/>
        </w:rPr>
        <w:t>Los Angeles</w:t>
      </w:r>
      <w:r w:rsidRPr="005D7FD6">
        <w:rPr>
          <w:rFonts w:ascii="Arial" w:hAnsi="Arial" w:cs="Arial"/>
          <w:b/>
          <w:bCs/>
          <w:sz w:val="20"/>
          <w:szCs w:val="20"/>
        </w:rPr>
        <w:t xml:space="preserve"> Regional Office</w:t>
      </w:r>
      <w:r w:rsidRPr="005D7FD6">
        <w:rPr>
          <w:rFonts w:ascii="Arial" w:hAnsi="Arial" w:cs="Arial"/>
          <w:sz w:val="20"/>
          <w:szCs w:val="20"/>
        </w:rPr>
        <w:t xml:space="preserve"> </w:t>
      </w:r>
    </w:p>
    <w:p w14:paraId="400ABCC9" w14:textId="77777777" w:rsidR="005A439E" w:rsidRPr="005D7FD6" w:rsidRDefault="006928B4" w:rsidP="005D7FD6">
      <w:pPr>
        <w:autoSpaceDE w:val="0"/>
        <w:autoSpaceDN w:val="0"/>
        <w:adjustRightInd w:val="0"/>
        <w:ind w:left="1440" w:firstLine="720"/>
        <w:jc w:val="both"/>
        <w:rPr>
          <w:rFonts w:ascii="Arial" w:hAnsi="Arial" w:cs="Arial"/>
          <w:sz w:val="20"/>
          <w:szCs w:val="20"/>
        </w:rPr>
      </w:pPr>
      <w:r>
        <w:rPr>
          <w:rFonts w:ascii="Arial" w:hAnsi="Arial" w:cs="Arial"/>
          <w:sz w:val="20"/>
          <w:szCs w:val="20"/>
        </w:rPr>
        <w:t>Michele Wein Layne</w:t>
      </w:r>
      <w:r w:rsidR="005A439E" w:rsidRPr="005D7FD6">
        <w:rPr>
          <w:rFonts w:ascii="Arial" w:hAnsi="Arial" w:cs="Arial"/>
          <w:sz w:val="20"/>
          <w:szCs w:val="20"/>
        </w:rPr>
        <w:t>, Regional Director</w:t>
      </w:r>
    </w:p>
    <w:p w14:paraId="76F936D8" w14:textId="77777777" w:rsidR="005A439E" w:rsidRPr="005D7FD6" w:rsidRDefault="006928B4" w:rsidP="005D7FD6">
      <w:pPr>
        <w:ind w:left="2160"/>
        <w:jc w:val="both"/>
        <w:rPr>
          <w:rFonts w:ascii="Arial" w:hAnsi="Arial" w:cs="Arial"/>
          <w:sz w:val="20"/>
          <w:szCs w:val="20"/>
        </w:rPr>
      </w:pPr>
      <w:r>
        <w:rPr>
          <w:rFonts w:ascii="Arial" w:hAnsi="Arial" w:cs="Arial"/>
          <w:sz w:val="20"/>
          <w:szCs w:val="20"/>
        </w:rPr>
        <w:t>444 South Flower Street, Suite 900</w:t>
      </w:r>
    </w:p>
    <w:p w14:paraId="51B9F5C7" w14:textId="77777777" w:rsidR="005A439E" w:rsidRPr="000F148A" w:rsidRDefault="005A439E" w:rsidP="005D7FD6">
      <w:pPr>
        <w:ind w:left="2160"/>
        <w:jc w:val="both"/>
        <w:rPr>
          <w:rFonts w:ascii="Arial" w:hAnsi="Arial" w:cs="Arial"/>
          <w:sz w:val="20"/>
          <w:szCs w:val="20"/>
          <w:lang w:val="es-ES"/>
        </w:rPr>
      </w:pPr>
      <w:r w:rsidRPr="000F148A">
        <w:rPr>
          <w:rFonts w:ascii="Arial" w:hAnsi="Arial" w:cs="Arial"/>
          <w:sz w:val="20"/>
          <w:szCs w:val="20"/>
          <w:lang w:val="es-ES"/>
        </w:rPr>
        <w:t xml:space="preserve">Los </w:t>
      </w:r>
      <w:proofErr w:type="spellStart"/>
      <w:r w:rsidRPr="000F148A">
        <w:rPr>
          <w:rFonts w:ascii="Arial" w:hAnsi="Arial" w:cs="Arial"/>
          <w:sz w:val="20"/>
          <w:szCs w:val="20"/>
          <w:lang w:val="es-ES"/>
        </w:rPr>
        <w:t>Angeles</w:t>
      </w:r>
      <w:proofErr w:type="spellEnd"/>
      <w:r w:rsidRPr="000F148A">
        <w:rPr>
          <w:rFonts w:ascii="Arial" w:hAnsi="Arial" w:cs="Arial"/>
          <w:sz w:val="20"/>
          <w:szCs w:val="20"/>
          <w:lang w:val="es-ES"/>
        </w:rPr>
        <w:t xml:space="preserve">, CA </w:t>
      </w:r>
      <w:r w:rsidR="006928B4" w:rsidRPr="000F148A">
        <w:rPr>
          <w:rFonts w:ascii="Arial" w:hAnsi="Arial" w:cs="Arial"/>
          <w:sz w:val="20"/>
          <w:szCs w:val="20"/>
          <w:lang w:val="es-ES"/>
        </w:rPr>
        <w:t>90071</w:t>
      </w:r>
      <w:r w:rsidRPr="000F148A">
        <w:rPr>
          <w:rFonts w:ascii="Arial" w:hAnsi="Arial" w:cs="Arial"/>
          <w:sz w:val="20"/>
          <w:szCs w:val="20"/>
          <w:lang w:val="es-ES"/>
        </w:rPr>
        <w:t xml:space="preserve"> </w:t>
      </w:r>
    </w:p>
    <w:p w14:paraId="6616B021" w14:textId="77777777" w:rsidR="005A439E" w:rsidRPr="000F148A" w:rsidRDefault="005A439E" w:rsidP="005D7FD6">
      <w:pPr>
        <w:ind w:left="2160"/>
        <w:jc w:val="both"/>
        <w:rPr>
          <w:rFonts w:ascii="Arial" w:hAnsi="Arial" w:cs="Arial"/>
          <w:color w:val="FF0000"/>
          <w:sz w:val="20"/>
          <w:szCs w:val="20"/>
          <w:lang w:val="es-ES"/>
        </w:rPr>
      </w:pPr>
      <w:r w:rsidRPr="000F148A">
        <w:rPr>
          <w:rFonts w:ascii="Arial" w:hAnsi="Arial" w:cs="Arial"/>
          <w:sz w:val="20"/>
          <w:szCs w:val="20"/>
          <w:lang w:val="es-ES"/>
        </w:rPr>
        <w:t>(323) 965-3998</w:t>
      </w:r>
    </w:p>
    <w:p w14:paraId="0F6FBDDB" w14:textId="77777777" w:rsidR="005A439E" w:rsidRPr="000F148A" w:rsidRDefault="005A439E" w:rsidP="005D7FD6">
      <w:pPr>
        <w:ind w:left="2160"/>
        <w:jc w:val="both"/>
        <w:rPr>
          <w:rFonts w:ascii="Arial" w:hAnsi="Arial" w:cs="Arial"/>
          <w:color w:val="454545"/>
          <w:sz w:val="20"/>
          <w:szCs w:val="20"/>
          <w:lang w:val="es-ES"/>
        </w:rPr>
      </w:pPr>
      <w:r w:rsidRPr="000F148A">
        <w:rPr>
          <w:rFonts w:ascii="Arial" w:hAnsi="Arial" w:cs="Arial"/>
          <w:color w:val="454545"/>
          <w:sz w:val="20"/>
          <w:szCs w:val="20"/>
          <w:lang w:val="es-ES"/>
        </w:rPr>
        <w:t xml:space="preserve">e-mail: </w:t>
      </w:r>
      <w:hyperlink r:id="rId12" w:history="1">
        <w:r w:rsidRPr="000F148A">
          <w:rPr>
            <w:rStyle w:val="Hyperlink"/>
            <w:rFonts w:ascii="Arial" w:hAnsi="Arial" w:cs="Arial"/>
            <w:sz w:val="20"/>
            <w:szCs w:val="20"/>
            <w:lang w:val="es-ES"/>
          </w:rPr>
          <w:t>losangeles@sec.gov</w:t>
        </w:r>
      </w:hyperlink>
      <w:r w:rsidRPr="000F148A">
        <w:rPr>
          <w:rFonts w:ascii="Arial" w:hAnsi="Arial" w:cs="Arial"/>
          <w:color w:val="454545"/>
          <w:sz w:val="20"/>
          <w:szCs w:val="20"/>
          <w:lang w:val="es-ES"/>
        </w:rPr>
        <w:t xml:space="preserve"> </w:t>
      </w:r>
    </w:p>
    <w:p w14:paraId="4CD32232" w14:textId="77777777" w:rsidR="005A439E" w:rsidRPr="000F148A" w:rsidRDefault="005A439E" w:rsidP="005D7FD6">
      <w:pPr>
        <w:ind w:left="2160"/>
        <w:jc w:val="both"/>
        <w:rPr>
          <w:rFonts w:ascii="Arial" w:hAnsi="Arial" w:cs="Arial"/>
          <w:b/>
          <w:color w:val="000000"/>
          <w:sz w:val="20"/>
          <w:szCs w:val="20"/>
          <w:lang w:val="es-ES"/>
        </w:rPr>
      </w:pPr>
    </w:p>
    <w:p w14:paraId="5AD3B560" w14:textId="77777777" w:rsidR="005A439E" w:rsidRPr="00BD6F85" w:rsidRDefault="005A439E" w:rsidP="005D7FD6">
      <w:pPr>
        <w:ind w:left="2160"/>
        <w:rPr>
          <w:rStyle w:val="Strong"/>
          <w:rFonts w:ascii="Arial" w:hAnsi="Arial" w:cs="Arial"/>
          <w:sz w:val="20"/>
          <w:szCs w:val="20"/>
        </w:rPr>
      </w:pPr>
      <w:r w:rsidRPr="00BD6F85">
        <w:rPr>
          <w:rFonts w:ascii="Arial" w:hAnsi="Arial" w:cs="Arial"/>
          <w:b/>
          <w:color w:val="000000"/>
          <w:sz w:val="20"/>
          <w:szCs w:val="20"/>
        </w:rPr>
        <w:t xml:space="preserve">FINRA </w:t>
      </w:r>
      <w:r w:rsidRPr="00BD6F85">
        <w:rPr>
          <w:rStyle w:val="Strong"/>
          <w:rFonts w:ascii="Arial" w:hAnsi="Arial" w:cs="Arial"/>
          <w:sz w:val="20"/>
          <w:szCs w:val="20"/>
        </w:rPr>
        <w:t>District 2 – Los Angeles</w:t>
      </w:r>
    </w:p>
    <w:p w14:paraId="06E1FC38" w14:textId="77777777" w:rsidR="005A439E" w:rsidRPr="00915533" w:rsidRDefault="005A439E" w:rsidP="005D7FD6">
      <w:pPr>
        <w:ind w:left="2160"/>
        <w:rPr>
          <w:rStyle w:val="Strong"/>
          <w:rFonts w:ascii="Arial" w:hAnsi="Arial" w:cs="Arial"/>
          <w:sz w:val="20"/>
          <w:szCs w:val="20"/>
        </w:rPr>
      </w:pPr>
      <w:r w:rsidRPr="00915533">
        <w:rPr>
          <w:rFonts w:ascii="Arial" w:hAnsi="Arial" w:cs="Arial"/>
          <w:color w:val="000000"/>
          <w:sz w:val="20"/>
          <w:szCs w:val="20"/>
        </w:rPr>
        <w:t>David A. Greene, Director</w:t>
      </w:r>
    </w:p>
    <w:p w14:paraId="2695A9BE" w14:textId="77777777" w:rsidR="005A439E" w:rsidRDefault="005A439E" w:rsidP="005D7FD6">
      <w:pPr>
        <w:ind w:left="2160"/>
        <w:rPr>
          <w:rFonts w:ascii="Arial" w:hAnsi="Arial" w:cs="Arial"/>
          <w:sz w:val="20"/>
          <w:szCs w:val="20"/>
        </w:rPr>
      </w:pPr>
      <w:r w:rsidRPr="005D7FD6">
        <w:rPr>
          <w:rFonts w:ascii="Arial" w:hAnsi="Arial" w:cs="Arial"/>
          <w:color w:val="000000"/>
          <w:sz w:val="20"/>
          <w:szCs w:val="20"/>
        </w:rPr>
        <w:t>300 South Grand Avenue, Suite 1600</w:t>
      </w:r>
      <w:r w:rsidRPr="005D7FD6">
        <w:rPr>
          <w:rFonts w:ascii="Arial" w:hAnsi="Arial" w:cs="Arial"/>
          <w:color w:val="000000"/>
          <w:sz w:val="20"/>
          <w:szCs w:val="20"/>
        </w:rPr>
        <w:br/>
        <w:t>Los Angeles, CA 90071-3126</w:t>
      </w:r>
      <w:r w:rsidRPr="005D7FD6">
        <w:rPr>
          <w:rFonts w:ascii="Arial" w:hAnsi="Arial" w:cs="Arial"/>
          <w:sz w:val="20"/>
          <w:szCs w:val="20"/>
        </w:rPr>
        <w:t xml:space="preserve"> </w:t>
      </w:r>
    </w:p>
    <w:p w14:paraId="569D96BE" w14:textId="77777777" w:rsidR="005A439E" w:rsidRDefault="005A439E" w:rsidP="005D7FD6">
      <w:pPr>
        <w:ind w:left="2160"/>
        <w:rPr>
          <w:rFonts w:ascii="Arial" w:hAnsi="Arial" w:cs="Arial"/>
          <w:sz w:val="20"/>
          <w:szCs w:val="20"/>
        </w:rPr>
      </w:pPr>
      <w:r w:rsidRPr="005D7FD6">
        <w:rPr>
          <w:rFonts w:ascii="Arial" w:hAnsi="Arial" w:cs="Arial"/>
          <w:sz w:val="20"/>
          <w:szCs w:val="20"/>
        </w:rPr>
        <w:t>(213) 229-2300</w:t>
      </w:r>
      <w:r w:rsidRPr="005D7FD6">
        <w:rPr>
          <w:rFonts w:ascii="Arial" w:hAnsi="Arial" w:cs="Arial"/>
          <w:sz w:val="20"/>
          <w:szCs w:val="20"/>
        </w:rPr>
        <w:br/>
        <w:t>Fax: (213) 617-3299</w:t>
      </w:r>
    </w:p>
    <w:p w14:paraId="76ACE41E" w14:textId="77777777" w:rsidR="005A439E" w:rsidRPr="003928DE" w:rsidRDefault="005A439E" w:rsidP="005D7FD6">
      <w:pPr>
        <w:jc w:val="both"/>
        <w:rPr>
          <w:rFonts w:ascii="Arial" w:hAnsi="Arial" w:cs="Arial"/>
          <w:sz w:val="20"/>
          <w:szCs w:val="20"/>
        </w:rPr>
      </w:pPr>
    </w:p>
    <w:p w14:paraId="61B83EB8" w14:textId="77777777" w:rsidR="005A439E" w:rsidRPr="003928DE" w:rsidRDefault="005A439E" w:rsidP="005D7FD6">
      <w:pPr>
        <w:jc w:val="both"/>
        <w:rPr>
          <w:rFonts w:ascii="Arial" w:hAnsi="Arial" w:cs="Arial"/>
          <w:sz w:val="20"/>
          <w:szCs w:val="20"/>
        </w:rPr>
      </w:pPr>
      <w:r w:rsidRPr="003928DE">
        <w:rPr>
          <w:rFonts w:ascii="Arial" w:hAnsi="Arial" w:cs="Arial"/>
          <w:i/>
          <w:sz w:val="20"/>
          <w:szCs w:val="20"/>
          <w:u w:val="single"/>
        </w:rPr>
        <w:t>Rule:</w:t>
      </w:r>
      <w:r w:rsidRPr="003928DE">
        <w:rPr>
          <w:rFonts w:ascii="Arial" w:hAnsi="Arial" w:cs="Arial"/>
          <w:i/>
          <w:sz w:val="20"/>
          <w:szCs w:val="20"/>
        </w:rPr>
        <w:t xml:space="preserve">  </w:t>
      </w:r>
      <w:r w:rsidR="006928B4">
        <w:rPr>
          <w:rFonts w:ascii="Arial" w:hAnsi="Arial" w:cs="Arial"/>
          <w:i/>
          <w:sz w:val="20"/>
          <w:szCs w:val="20"/>
        </w:rPr>
        <w:t xml:space="preserve">FINRA Rule 4370 </w:t>
      </w:r>
      <w:r w:rsidRPr="003928DE">
        <w:rPr>
          <w:rFonts w:ascii="Arial" w:hAnsi="Arial" w:cs="Arial"/>
          <w:i/>
          <w:sz w:val="20"/>
          <w:szCs w:val="20"/>
        </w:rPr>
        <w:t>(c)(8).</w:t>
      </w:r>
    </w:p>
    <w:p w14:paraId="744B015E" w14:textId="77777777" w:rsidR="005A439E" w:rsidRDefault="005A439E" w:rsidP="005D7FD6">
      <w:pPr>
        <w:jc w:val="both"/>
        <w:rPr>
          <w:rFonts w:ascii="Arial" w:hAnsi="Arial" w:cs="Arial"/>
          <w:sz w:val="20"/>
          <w:szCs w:val="20"/>
        </w:rPr>
      </w:pPr>
    </w:p>
    <w:p w14:paraId="7C805BE5" w14:textId="77777777" w:rsidR="005A439E" w:rsidRPr="003928DE" w:rsidRDefault="005A439E" w:rsidP="005D7FD6">
      <w:pPr>
        <w:jc w:val="both"/>
        <w:rPr>
          <w:rFonts w:ascii="Arial" w:hAnsi="Arial" w:cs="Arial"/>
          <w:sz w:val="20"/>
          <w:szCs w:val="20"/>
        </w:rPr>
      </w:pPr>
    </w:p>
    <w:p w14:paraId="63525DFF" w14:textId="77777777" w:rsidR="005A439E" w:rsidRPr="003928DE" w:rsidRDefault="005A439E" w:rsidP="005D7FD6">
      <w:pPr>
        <w:pStyle w:val="Heading1"/>
        <w:tabs>
          <w:tab w:val="clear" w:pos="360"/>
        </w:tabs>
        <w:jc w:val="both"/>
        <w:rPr>
          <w:rFonts w:ascii="Arial" w:hAnsi="Arial" w:cs="Arial"/>
          <w:sz w:val="22"/>
          <w:szCs w:val="22"/>
        </w:rPr>
      </w:pPr>
      <w:r w:rsidRPr="003928DE">
        <w:rPr>
          <w:rFonts w:ascii="Arial" w:hAnsi="Arial" w:cs="Arial"/>
          <w:sz w:val="22"/>
          <w:szCs w:val="22"/>
        </w:rPr>
        <w:t>Disclosure of Business Continuity Plan</w:t>
      </w:r>
    </w:p>
    <w:p w14:paraId="69ECD893" w14:textId="77777777" w:rsidR="005A439E" w:rsidRPr="003928DE" w:rsidRDefault="005A439E" w:rsidP="005D7FD6">
      <w:pPr>
        <w:jc w:val="both"/>
        <w:rPr>
          <w:rFonts w:ascii="Arial" w:hAnsi="Arial" w:cs="Arial"/>
          <w:sz w:val="20"/>
          <w:szCs w:val="20"/>
        </w:rPr>
      </w:pPr>
    </w:p>
    <w:p w14:paraId="3E3D708B" w14:textId="77777777" w:rsidR="00A5626A" w:rsidRDefault="00A5626A" w:rsidP="005D7FD6">
      <w:pPr>
        <w:jc w:val="both"/>
        <w:rPr>
          <w:rFonts w:ascii="Arial" w:hAnsi="Arial" w:cs="Arial"/>
          <w:sz w:val="20"/>
          <w:szCs w:val="20"/>
        </w:rPr>
      </w:pPr>
    </w:p>
    <w:p w14:paraId="561368F9" w14:textId="77777777" w:rsidR="005A439E" w:rsidRDefault="00A5626A" w:rsidP="005D7FD6">
      <w:pPr>
        <w:jc w:val="both"/>
        <w:rPr>
          <w:rFonts w:ascii="Arial" w:hAnsi="Arial" w:cs="Arial"/>
          <w:sz w:val="20"/>
          <w:szCs w:val="20"/>
        </w:rPr>
      </w:pPr>
      <w:r>
        <w:rPr>
          <w:rFonts w:ascii="Arial" w:hAnsi="Arial" w:cs="Arial"/>
          <w:sz w:val="20"/>
          <w:szCs w:val="20"/>
        </w:rPr>
        <w:t xml:space="preserve">We provide a copy of the Business Continuity Plan </w:t>
      </w:r>
      <w:r w:rsidR="005A439E">
        <w:rPr>
          <w:rFonts w:ascii="Arial" w:hAnsi="Arial" w:cs="Arial"/>
          <w:sz w:val="20"/>
          <w:szCs w:val="20"/>
        </w:rPr>
        <w:t>to customers</w:t>
      </w:r>
      <w:r>
        <w:rPr>
          <w:rFonts w:ascii="Arial" w:hAnsi="Arial" w:cs="Arial"/>
          <w:sz w:val="20"/>
          <w:szCs w:val="20"/>
        </w:rPr>
        <w:t xml:space="preserve"> or counterparties</w:t>
      </w:r>
      <w:r w:rsidR="005A439E">
        <w:rPr>
          <w:rFonts w:ascii="Arial" w:hAnsi="Arial" w:cs="Arial"/>
          <w:sz w:val="20"/>
          <w:szCs w:val="20"/>
        </w:rPr>
        <w:t xml:space="preserve"> upon request.</w:t>
      </w:r>
    </w:p>
    <w:p w14:paraId="41AF088D" w14:textId="77777777" w:rsidR="005A439E" w:rsidRPr="003928DE" w:rsidRDefault="005A439E" w:rsidP="005D7FD6">
      <w:pPr>
        <w:jc w:val="both"/>
        <w:rPr>
          <w:rFonts w:ascii="Arial" w:hAnsi="Arial" w:cs="Arial"/>
          <w:sz w:val="20"/>
          <w:szCs w:val="20"/>
        </w:rPr>
      </w:pPr>
    </w:p>
    <w:p w14:paraId="72E7D8DE" w14:textId="77777777" w:rsidR="005A439E" w:rsidRPr="003928DE" w:rsidRDefault="005A439E" w:rsidP="005D7FD6">
      <w:pPr>
        <w:jc w:val="both"/>
        <w:rPr>
          <w:rFonts w:ascii="Arial" w:hAnsi="Arial" w:cs="Arial"/>
          <w:i/>
          <w:sz w:val="20"/>
          <w:szCs w:val="20"/>
        </w:rPr>
      </w:pPr>
      <w:r w:rsidRPr="003928DE">
        <w:rPr>
          <w:rFonts w:ascii="Arial" w:hAnsi="Arial" w:cs="Arial"/>
          <w:i/>
          <w:sz w:val="20"/>
          <w:szCs w:val="20"/>
        </w:rPr>
        <w:t xml:space="preserve">Rule:  </w:t>
      </w:r>
      <w:r w:rsidR="006928B4">
        <w:rPr>
          <w:rFonts w:ascii="Arial" w:hAnsi="Arial" w:cs="Arial"/>
          <w:i/>
          <w:sz w:val="20"/>
          <w:szCs w:val="20"/>
        </w:rPr>
        <w:t xml:space="preserve">FINRA Rule 4370 </w:t>
      </w:r>
      <w:r w:rsidRPr="003928DE">
        <w:rPr>
          <w:rFonts w:ascii="Arial" w:hAnsi="Arial" w:cs="Arial"/>
          <w:i/>
          <w:sz w:val="20"/>
          <w:szCs w:val="20"/>
        </w:rPr>
        <w:t>(e).</w:t>
      </w:r>
    </w:p>
    <w:p w14:paraId="4377C013" w14:textId="77777777" w:rsidR="005A439E" w:rsidRDefault="005A439E" w:rsidP="005D7FD6">
      <w:pPr>
        <w:jc w:val="both"/>
        <w:rPr>
          <w:rFonts w:ascii="Arial" w:hAnsi="Arial" w:cs="Arial"/>
          <w:sz w:val="20"/>
          <w:szCs w:val="20"/>
        </w:rPr>
      </w:pPr>
    </w:p>
    <w:p w14:paraId="64106374" w14:textId="77777777" w:rsidR="005A439E" w:rsidRPr="003928DE" w:rsidRDefault="005A439E" w:rsidP="005D7FD6">
      <w:pPr>
        <w:jc w:val="both"/>
        <w:rPr>
          <w:rFonts w:ascii="Arial" w:hAnsi="Arial" w:cs="Arial"/>
          <w:sz w:val="20"/>
          <w:szCs w:val="20"/>
        </w:rPr>
      </w:pPr>
    </w:p>
    <w:p w14:paraId="63C44F13" w14:textId="77777777" w:rsidR="005A439E" w:rsidRPr="003928DE" w:rsidRDefault="005A439E" w:rsidP="005D7FD6">
      <w:pPr>
        <w:pStyle w:val="Heading1"/>
        <w:tabs>
          <w:tab w:val="clear" w:pos="360"/>
        </w:tabs>
        <w:jc w:val="both"/>
        <w:rPr>
          <w:rFonts w:ascii="Arial" w:hAnsi="Arial" w:cs="Arial"/>
          <w:sz w:val="22"/>
          <w:szCs w:val="22"/>
        </w:rPr>
      </w:pPr>
      <w:r w:rsidRPr="003928DE">
        <w:rPr>
          <w:rFonts w:ascii="Arial" w:hAnsi="Arial" w:cs="Arial"/>
          <w:sz w:val="22"/>
          <w:szCs w:val="22"/>
        </w:rPr>
        <w:t>Updates and Annual Review</w:t>
      </w:r>
    </w:p>
    <w:p w14:paraId="7D1A885B" w14:textId="77777777" w:rsidR="005A439E" w:rsidRPr="003928DE" w:rsidRDefault="005A439E" w:rsidP="005D7FD6">
      <w:pPr>
        <w:jc w:val="both"/>
        <w:rPr>
          <w:rFonts w:ascii="Arial" w:hAnsi="Arial" w:cs="Arial"/>
          <w:sz w:val="20"/>
          <w:szCs w:val="20"/>
        </w:rPr>
      </w:pPr>
    </w:p>
    <w:p w14:paraId="7DEDFFF1" w14:textId="77777777" w:rsidR="00B1365F" w:rsidRDefault="005A439E" w:rsidP="005D7FD6">
      <w:pPr>
        <w:jc w:val="both"/>
        <w:rPr>
          <w:rFonts w:ascii="Arial" w:hAnsi="Arial" w:cs="Arial"/>
          <w:sz w:val="20"/>
          <w:szCs w:val="20"/>
        </w:rPr>
      </w:pPr>
      <w:r w:rsidRPr="003928DE">
        <w:rPr>
          <w:rFonts w:ascii="Arial" w:hAnsi="Arial" w:cs="Arial"/>
          <w:sz w:val="20"/>
          <w:szCs w:val="20"/>
        </w:rPr>
        <w:t xml:space="preserve">Our firm will update this plan whenever we have a material change to our operations, structure, </w:t>
      </w:r>
      <w:r w:rsidR="00B1365F">
        <w:rPr>
          <w:rFonts w:ascii="Arial" w:hAnsi="Arial" w:cs="Arial"/>
          <w:sz w:val="20"/>
          <w:szCs w:val="20"/>
        </w:rPr>
        <w:t xml:space="preserve">or </w:t>
      </w:r>
      <w:r w:rsidRPr="003928DE">
        <w:rPr>
          <w:rFonts w:ascii="Arial" w:hAnsi="Arial" w:cs="Arial"/>
          <w:sz w:val="20"/>
          <w:szCs w:val="20"/>
        </w:rPr>
        <w:t>business</w:t>
      </w:r>
      <w:r w:rsidR="00B1365F">
        <w:rPr>
          <w:rFonts w:ascii="Arial" w:hAnsi="Arial" w:cs="Arial"/>
          <w:sz w:val="20"/>
          <w:szCs w:val="20"/>
        </w:rPr>
        <w:t>.</w:t>
      </w:r>
      <w:r w:rsidRPr="003928DE">
        <w:rPr>
          <w:rFonts w:ascii="Arial" w:hAnsi="Arial" w:cs="Arial"/>
          <w:sz w:val="20"/>
          <w:szCs w:val="20"/>
        </w:rPr>
        <w:t xml:space="preserve">  In addition, our firm will review this BCP annually to modify it for any changes in our operations, structure, business, or location</w:t>
      </w:r>
      <w:r w:rsidR="00B1365F">
        <w:rPr>
          <w:rFonts w:ascii="Arial" w:hAnsi="Arial" w:cs="Arial"/>
          <w:sz w:val="20"/>
          <w:szCs w:val="20"/>
        </w:rPr>
        <w:t>.</w:t>
      </w:r>
      <w:r w:rsidRPr="003928DE">
        <w:rPr>
          <w:rFonts w:ascii="Arial" w:hAnsi="Arial" w:cs="Arial"/>
          <w:sz w:val="20"/>
          <w:szCs w:val="20"/>
        </w:rPr>
        <w:t xml:space="preserve"> </w:t>
      </w:r>
    </w:p>
    <w:p w14:paraId="2E80CE8B" w14:textId="77777777" w:rsidR="00B1365F" w:rsidRDefault="00B1365F" w:rsidP="005D7FD6">
      <w:pPr>
        <w:jc w:val="both"/>
        <w:rPr>
          <w:rFonts w:ascii="Arial" w:hAnsi="Arial" w:cs="Arial"/>
          <w:sz w:val="20"/>
          <w:szCs w:val="20"/>
        </w:rPr>
      </w:pPr>
    </w:p>
    <w:p w14:paraId="1E806611" w14:textId="77777777" w:rsidR="00B1365F" w:rsidRPr="003928DE" w:rsidRDefault="00B1365F" w:rsidP="005D7FD6">
      <w:pPr>
        <w:jc w:val="both"/>
        <w:rPr>
          <w:rFonts w:ascii="Arial" w:hAnsi="Arial" w:cs="Arial"/>
          <w:sz w:val="20"/>
          <w:szCs w:val="20"/>
        </w:rPr>
      </w:pPr>
    </w:p>
    <w:p w14:paraId="3ED85D29" w14:textId="77777777" w:rsidR="005A439E" w:rsidRDefault="005A439E" w:rsidP="005D7FD6">
      <w:pPr>
        <w:jc w:val="both"/>
        <w:rPr>
          <w:rFonts w:ascii="Arial" w:hAnsi="Arial" w:cs="Arial"/>
          <w:i/>
          <w:sz w:val="20"/>
          <w:szCs w:val="20"/>
        </w:rPr>
      </w:pPr>
      <w:r w:rsidRPr="003928DE">
        <w:rPr>
          <w:rFonts w:ascii="Arial" w:hAnsi="Arial" w:cs="Arial"/>
          <w:i/>
          <w:sz w:val="20"/>
          <w:szCs w:val="20"/>
          <w:u w:val="single"/>
        </w:rPr>
        <w:t>Rule:</w:t>
      </w:r>
      <w:r w:rsidRPr="003928DE">
        <w:rPr>
          <w:rFonts w:ascii="Arial" w:hAnsi="Arial" w:cs="Arial"/>
          <w:i/>
          <w:sz w:val="20"/>
          <w:szCs w:val="20"/>
        </w:rPr>
        <w:t xml:space="preserve">  </w:t>
      </w:r>
      <w:r w:rsidR="00B1365F">
        <w:rPr>
          <w:rFonts w:ascii="Arial" w:hAnsi="Arial" w:cs="Arial"/>
          <w:i/>
          <w:sz w:val="20"/>
          <w:szCs w:val="20"/>
        </w:rPr>
        <w:t xml:space="preserve">FINRA Rule 4370 </w:t>
      </w:r>
      <w:r w:rsidRPr="003928DE">
        <w:rPr>
          <w:rFonts w:ascii="Arial" w:hAnsi="Arial" w:cs="Arial"/>
          <w:i/>
          <w:sz w:val="20"/>
          <w:szCs w:val="20"/>
        </w:rPr>
        <w:t>(b).</w:t>
      </w:r>
    </w:p>
    <w:p w14:paraId="0D7AD693" w14:textId="77777777" w:rsidR="00AB02D6" w:rsidRDefault="00AB02D6" w:rsidP="005D7FD6">
      <w:pPr>
        <w:jc w:val="both"/>
        <w:rPr>
          <w:rFonts w:ascii="Arial" w:hAnsi="Arial" w:cs="Arial"/>
          <w:i/>
          <w:sz w:val="20"/>
          <w:szCs w:val="20"/>
        </w:rPr>
      </w:pPr>
    </w:p>
    <w:p w14:paraId="3C866F5D" w14:textId="77777777" w:rsidR="00AB02D6" w:rsidRDefault="00AB02D6" w:rsidP="005D7FD6">
      <w:pPr>
        <w:jc w:val="both"/>
        <w:rPr>
          <w:rFonts w:ascii="Arial" w:hAnsi="Arial" w:cs="Arial"/>
          <w:i/>
          <w:sz w:val="20"/>
          <w:szCs w:val="20"/>
        </w:rPr>
      </w:pPr>
    </w:p>
    <w:p w14:paraId="0C6B11D7" w14:textId="77777777" w:rsidR="00AB02D6" w:rsidRDefault="00AB02D6" w:rsidP="005D7FD6">
      <w:pPr>
        <w:jc w:val="both"/>
        <w:rPr>
          <w:rFonts w:ascii="Arial" w:hAnsi="Arial" w:cs="Arial"/>
          <w:i/>
          <w:sz w:val="20"/>
          <w:szCs w:val="20"/>
        </w:rPr>
      </w:pPr>
    </w:p>
    <w:p w14:paraId="02980A6D" w14:textId="77777777" w:rsidR="00AB02D6" w:rsidRDefault="00AB02D6" w:rsidP="005D7FD6">
      <w:pPr>
        <w:jc w:val="both"/>
        <w:rPr>
          <w:rFonts w:ascii="Arial" w:hAnsi="Arial" w:cs="Arial"/>
          <w:i/>
          <w:sz w:val="20"/>
          <w:szCs w:val="20"/>
        </w:rPr>
      </w:pPr>
    </w:p>
    <w:p w14:paraId="1DD4963F" w14:textId="77777777" w:rsidR="00AB02D6" w:rsidRDefault="00AB02D6" w:rsidP="005D7FD6">
      <w:pPr>
        <w:jc w:val="both"/>
        <w:rPr>
          <w:rFonts w:ascii="Arial" w:hAnsi="Arial" w:cs="Arial"/>
          <w:i/>
          <w:sz w:val="20"/>
          <w:szCs w:val="20"/>
        </w:rPr>
      </w:pPr>
    </w:p>
    <w:p w14:paraId="7F94AD87" w14:textId="77777777" w:rsidR="00AB02D6" w:rsidRDefault="00AB02D6" w:rsidP="005D7FD6">
      <w:pPr>
        <w:jc w:val="both"/>
        <w:rPr>
          <w:rFonts w:ascii="Arial" w:hAnsi="Arial" w:cs="Arial"/>
          <w:i/>
          <w:sz w:val="20"/>
          <w:szCs w:val="20"/>
        </w:rPr>
      </w:pPr>
    </w:p>
    <w:p w14:paraId="05D1FF32" w14:textId="77777777" w:rsidR="00AB02D6" w:rsidRDefault="00AB02D6" w:rsidP="005D7FD6">
      <w:pPr>
        <w:jc w:val="both"/>
        <w:rPr>
          <w:rFonts w:ascii="Arial" w:hAnsi="Arial" w:cs="Arial"/>
          <w:i/>
          <w:sz w:val="20"/>
          <w:szCs w:val="20"/>
        </w:rPr>
      </w:pPr>
    </w:p>
    <w:p w14:paraId="6437CB0C" w14:textId="77777777" w:rsidR="00AB02D6" w:rsidRDefault="00AB02D6" w:rsidP="005D7FD6">
      <w:pPr>
        <w:jc w:val="both"/>
        <w:rPr>
          <w:rFonts w:ascii="Arial" w:hAnsi="Arial" w:cs="Arial"/>
          <w:i/>
          <w:sz w:val="20"/>
          <w:szCs w:val="20"/>
        </w:rPr>
      </w:pPr>
    </w:p>
    <w:p w14:paraId="4B7579CE" w14:textId="77777777" w:rsidR="00AB02D6" w:rsidRDefault="00AB02D6" w:rsidP="005D7FD6">
      <w:pPr>
        <w:jc w:val="both"/>
        <w:rPr>
          <w:rFonts w:ascii="Arial" w:hAnsi="Arial" w:cs="Arial"/>
          <w:i/>
          <w:sz w:val="20"/>
          <w:szCs w:val="20"/>
        </w:rPr>
      </w:pPr>
    </w:p>
    <w:p w14:paraId="74CEA3A2" w14:textId="77777777" w:rsidR="00AB02D6" w:rsidRDefault="00AB02D6" w:rsidP="005D7FD6">
      <w:pPr>
        <w:jc w:val="both"/>
        <w:rPr>
          <w:rFonts w:ascii="Arial" w:hAnsi="Arial" w:cs="Arial"/>
          <w:i/>
          <w:sz w:val="20"/>
          <w:szCs w:val="20"/>
        </w:rPr>
      </w:pPr>
    </w:p>
    <w:p w14:paraId="366868DA" w14:textId="77777777" w:rsidR="00AB02D6" w:rsidRDefault="00AB02D6" w:rsidP="005D7FD6">
      <w:pPr>
        <w:jc w:val="both"/>
        <w:rPr>
          <w:rFonts w:ascii="Arial" w:hAnsi="Arial" w:cs="Arial"/>
          <w:i/>
          <w:sz w:val="20"/>
          <w:szCs w:val="20"/>
        </w:rPr>
      </w:pPr>
    </w:p>
    <w:p w14:paraId="5E8B355B" w14:textId="77777777" w:rsidR="00AB02D6" w:rsidRDefault="00AB02D6" w:rsidP="005D7FD6">
      <w:pPr>
        <w:jc w:val="both"/>
        <w:rPr>
          <w:rFonts w:ascii="Arial" w:hAnsi="Arial" w:cs="Arial"/>
          <w:i/>
          <w:sz w:val="20"/>
          <w:szCs w:val="20"/>
        </w:rPr>
      </w:pPr>
    </w:p>
    <w:p w14:paraId="1D8ACCD0" w14:textId="77777777" w:rsidR="00284ABA" w:rsidRDefault="00284ABA" w:rsidP="005D7FD6">
      <w:pPr>
        <w:jc w:val="both"/>
        <w:rPr>
          <w:rFonts w:ascii="Arial" w:hAnsi="Arial" w:cs="Arial"/>
          <w:i/>
          <w:sz w:val="20"/>
          <w:szCs w:val="20"/>
        </w:rPr>
      </w:pPr>
    </w:p>
    <w:p w14:paraId="70DFF87D" w14:textId="77777777" w:rsidR="00B1365F" w:rsidRPr="003928DE" w:rsidRDefault="00B1365F" w:rsidP="005D7FD6">
      <w:pPr>
        <w:jc w:val="both"/>
        <w:rPr>
          <w:rFonts w:ascii="Arial" w:hAnsi="Arial" w:cs="Arial"/>
          <w:sz w:val="20"/>
          <w:szCs w:val="20"/>
        </w:rPr>
      </w:pPr>
    </w:p>
    <w:p w14:paraId="5B4CC4B3" w14:textId="77777777" w:rsidR="005A439E" w:rsidRPr="003928DE" w:rsidRDefault="005A439E" w:rsidP="005D7FD6">
      <w:pPr>
        <w:pStyle w:val="Heading1"/>
        <w:tabs>
          <w:tab w:val="clear" w:pos="360"/>
        </w:tabs>
        <w:jc w:val="both"/>
        <w:rPr>
          <w:rFonts w:ascii="Arial" w:hAnsi="Arial" w:cs="Arial"/>
          <w:sz w:val="22"/>
          <w:szCs w:val="22"/>
        </w:rPr>
      </w:pPr>
      <w:r w:rsidRPr="003928DE">
        <w:rPr>
          <w:rFonts w:ascii="Arial" w:hAnsi="Arial" w:cs="Arial"/>
          <w:sz w:val="22"/>
          <w:szCs w:val="22"/>
        </w:rPr>
        <w:t xml:space="preserve">Senior Manager Approval  </w:t>
      </w:r>
    </w:p>
    <w:p w14:paraId="2B22F972" w14:textId="77777777" w:rsidR="005A439E" w:rsidRPr="003928DE" w:rsidRDefault="005A439E" w:rsidP="005D7FD6">
      <w:pPr>
        <w:jc w:val="both"/>
        <w:rPr>
          <w:rFonts w:ascii="Arial" w:hAnsi="Arial" w:cs="Arial"/>
          <w:sz w:val="20"/>
          <w:szCs w:val="20"/>
        </w:rPr>
      </w:pPr>
    </w:p>
    <w:p w14:paraId="77C84BE6" w14:textId="77777777" w:rsidR="005A439E" w:rsidRPr="003928DE" w:rsidRDefault="005A439E" w:rsidP="005D7FD6">
      <w:pPr>
        <w:jc w:val="both"/>
        <w:rPr>
          <w:rFonts w:ascii="Arial" w:hAnsi="Arial" w:cs="Arial"/>
          <w:sz w:val="20"/>
          <w:szCs w:val="20"/>
        </w:rPr>
      </w:pPr>
      <w:r w:rsidRPr="003928DE">
        <w:rPr>
          <w:rFonts w:ascii="Arial" w:hAnsi="Arial" w:cs="Arial"/>
          <w:sz w:val="20"/>
          <w:szCs w:val="20"/>
        </w:rPr>
        <w:lastRenderedPageBreak/>
        <w:t>I have approved this Business Continuity Plan as reasonably designed to enable our firm to meet its obligations to customers in the event of an SBD.</w:t>
      </w:r>
    </w:p>
    <w:p w14:paraId="5A14AD51" w14:textId="77777777" w:rsidR="005A439E" w:rsidRPr="003928DE" w:rsidRDefault="005A439E" w:rsidP="005D7FD6">
      <w:pPr>
        <w:jc w:val="both"/>
        <w:rPr>
          <w:rFonts w:ascii="Arial" w:hAnsi="Arial" w:cs="Arial"/>
          <w:i/>
          <w:sz w:val="20"/>
          <w:szCs w:val="20"/>
          <w:u w:val="single"/>
        </w:rPr>
      </w:pPr>
    </w:p>
    <w:p w14:paraId="6649D284" w14:textId="77777777" w:rsidR="005A439E" w:rsidRPr="003928DE" w:rsidRDefault="005A439E" w:rsidP="005D7FD6">
      <w:pPr>
        <w:jc w:val="both"/>
        <w:rPr>
          <w:rFonts w:ascii="Arial" w:hAnsi="Arial" w:cs="Arial"/>
          <w:i/>
          <w:sz w:val="20"/>
          <w:szCs w:val="20"/>
        </w:rPr>
      </w:pPr>
      <w:r w:rsidRPr="003928DE">
        <w:rPr>
          <w:rFonts w:ascii="Arial" w:hAnsi="Arial" w:cs="Arial"/>
          <w:i/>
          <w:sz w:val="20"/>
          <w:szCs w:val="20"/>
        </w:rPr>
        <w:t xml:space="preserve">Rule:  </w:t>
      </w:r>
      <w:r w:rsidR="00B1365F">
        <w:rPr>
          <w:rFonts w:ascii="Arial" w:hAnsi="Arial" w:cs="Arial"/>
          <w:i/>
          <w:sz w:val="20"/>
          <w:szCs w:val="20"/>
        </w:rPr>
        <w:t>FINRA Rule 4370</w:t>
      </w:r>
      <w:r w:rsidRPr="003928DE">
        <w:rPr>
          <w:rFonts w:ascii="Arial" w:hAnsi="Arial" w:cs="Arial"/>
          <w:i/>
          <w:sz w:val="20"/>
          <w:szCs w:val="20"/>
        </w:rPr>
        <w:t xml:space="preserve"> (d).</w:t>
      </w:r>
    </w:p>
    <w:p w14:paraId="391E06D8" w14:textId="77777777" w:rsidR="005A439E" w:rsidRDefault="005A439E" w:rsidP="005D7FD6">
      <w:pPr>
        <w:jc w:val="both"/>
        <w:rPr>
          <w:rFonts w:ascii="Arial" w:hAnsi="Arial" w:cs="Arial"/>
          <w:sz w:val="20"/>
          <w:szCs w:val="20"/>
        </w:rPr>
      </w:pPr>
    </w:p>
    <w:p w14:paraId="4FF94DBB" w14:textId="77777777" w:rsidR="00B1365F" w:rsidRPr="003928DE" w:rsidRDefault="00B1365F" w:rsidP="005D7FD6">
      <w:pPr>
        <w:jc w:val="both"/>
        <w:rPr>
          <w:rFonts w:ascii="Arial" w:hAnsi="Arial" w:cs="Arial"/>
          <w:sz w:val="20"/>
          <w:szCs w:val="20"/>
        </w:rPr>
      </w:pPr>
    </w:p>
    <w:p w14:paraId="2A27E0CB" w14:textId="77777777" w:rsidR="005A439E" w:rsidRPr="003928DE" w:rsidRDefault="005A439E" w:rsidP="005D7FD6">
      <w:pPr>
        <w:jc w:val="both"/>
        <w:rPr>
          <w:rFonts w:ascii="Arial" w:hAnsi="Arial" w:cs="Arial"/>
          <w:sz w:val="20"/>
          <w:szCs w:val="20"/>
        </w:rPr>
      </w:pPr>
    </w:p>
    <w:tbl>
      <w:tblPr>
        <w:tblW w:w="0" w:type="auto"/>
        <w:tblLook w:val="0000" w:firstRow="0" w:lastRow="0" w:firstColumn="0" w:lastColumn="0" w:noHBand="0" w:noVBand="0"/>
      </w:tblPr>
      <w:tblGrid>
        <w:gridCol w:w="7083"/>
      </w:tblGrid>
      <w:tr w:rsidR="005A439E" w:rsidRPr="00381348" w14:paraId="0B5030A4" w14:textId="77777777" w:rsidTr="00FB2074">
        <w:tc>
          <w:tcPr>
            <w:tcW w:w="7083" w:type="dxa"/>
            <w:tcBorders>
              <w:bottom w:val="single" w:sz="4" w:space="0" w:color="auto"/>
            </w:tcBorders>
          </w:tcPr>
          <w:p w14:paraId="56E787C3" w14:textId="77777777" w:rsidR="005A439E" w:rsidRPr="00381348" w:rsidRDefault="005A439E" w:rsidP="005D7FD6">
            <w:pPr>
              <w:pStyle w:val="Footer"/>
              <w:tabs>
                <w:tab w:val="clear" w:pos="4320"/>
                <w:tab w:val="clear" w:pos="8640"/>
              </w:tabs>
              <w:jc w:val="both"/>
              <w:rPr>
                <w:rFonts w:ascii="Arial" w:hAnsi="Arial" w:cs="Arial"/>
                <w:sz w:val="20"/>
                <w:szCs w:val="20"/>
              </w:rPr>
            </w:pPr>
          </w:p>
        </w:tc>
      </w:tr>
      <w:tr w:rsidR="005A439E" w:rsidRPr="00381348" w14:paraId="64294B3A" w14:textId="77777777" w:rsidTr="00FB2074">
        <w:tc>
          <w:tcPr>
            <w:tcW w:w="7083" w:type="dxa"/>
            <w:tcBorders>
              <w:top w:val="single" w:sz="4" w:space="0" w:color="auto"/>
              <w:bottom w:val="single" w:sz="4" w:space="0" w:color="auto"/>
            </w:tcBorders>
          </w:tcPr>
          <w:p w14:paraId="1E66AD2A" w14:textId="77777777" w:rsidR="005A439E" w:rsidRPr="00381348" w:rsidRDefault="005A439E" w:rsidP="005D7FD6">
            <w:pPr>
              <w:jc w:val="both"/>
              <w:rPr>
                <w:rFonts w:ascii="Arial" w:hAnsi="Arial" w:cs="Arial"/>
                <w:sz w:val="20"/>
                <w:szCs w:val="20"/>
              </w:rPr>
            </w:pPr>
            <w:r>
              <w:rPr>
                <w:rFonts w:ascii="Arial" w:hAnsi="Arial" w:cs="Arial"/>
                <w:sz w:val="20"/>
                <w:szCs w:val="20"/>
              </w:rPr>
              <w:t>Warren Wibbelsman</w:t>
            </w:r>
          </w:p>
          <w:p w14:paraId="640DF6D4" w14:textId="77777777" w:rsidR="005A439E" w:rsidRPr="00381348" w:rsidRDefault="005A439E" w:rsidP="005D7FD6">
            <w:pPr>
              <w:jc w:val="both"/>
              <w:rPr>
                <w:rFonts w:ascii="Arial" w:hAnsi="Arial" w:cs="Arial"/>
                <w:sz w:val="20"/>
                <w:szCs w:val="20"/>
              </w:rPr>
            </w:pPr>
          </w:p>
          <w:p w14:paraId="06C3034D" w14:textId="77777777" w:rsidR="005A439E" w:rsidRPr="00381348" w:rsidRDefault="005A439E" w:rsidP="005D7FD6">
            <w:pPr>
              <w:jc w:val="both"/>
              <w:rPr>
                <w:rFonts w:ascii="Arial" w:hAnsi="Arial" w:cs="Arial"/>
                <w:sz w:val="20"/>
                <w:szCs w:val="20"/>
              </w:rPr>
            </w:pPr>
          </w:p>
          <w:p w14:paraId="0262641D" w14:textId="77777777" w:rsidR="005A439E" w:rsidRPr="00381348" w:rsidRDefault="005A439E" w:rsidP="005D7FD6">
            <w:pPr>
              <w:jc w:val="both"/>
              <w:rPr>
                <w:rFonts w:ascii="Arial" w:hAnsi="Arial" w:cs="Arial"/>
                <w:sz w:val="20"/>
                <w:szCs w:val="20"/>
              </w:rPr>
            </w:pPr>
          </w:p>
          <w:p w14:paraId="13A7566C" w14:textId="77777777" w:rsidR="005A439E" w:rsidRPr="00381348" w:rsidRDefault="005A439E" w:rsidP="005D7FD6">
            <w:pPr>
              <w:jc w:val="both"/>
              <w:rPr>
                <w:rFonts w:ascii="Arial" w:hAnsi="Arial" w:cs="Arial"/>
                <w:sz w:val="20"/>
                <w:szCs w:val="20"/>
              </w:rPr>
            </w:pPr>
          </w:p>
          <w:p w14:paraId="15AB3552" w14:textId="77777777" w:rsidR="005A439E" w:rsidRPr="00381348" w:rsidRDefault="005A439E" w:rsidP="005D7FD6">
            <w:pPr>
              <w:jc w:val="both"/>
              <w:rPr>
                <w:rFonts w:ascii="Arial" w:hAnsi="Arial" w:cs="Arial"/>
                <w:sz w:val="20"/>
                <w:szCs w:val="20"/>
              </w:rPr>
            </w:pPr>
          </w:p>
        </w:tc>
      </w:tr>
      <w:tr w:rsidR="005A439E" w:rsidRPr="00381348" w14:paraId="2CCB379C" w14:textId="77777777" w:rsidTr="00FB2074">
        <w:tc>
          <w:tcPr>
            <w:tcW w:w="7083" w:type="dxa"/>
            <w:tcBorders>
              <w:top w:val="single" w:sz="4" w:space="0" w:color="auto"/>
              <w:bottom w:val="single" w:sz="4" w:space="0" w:color="auto"/>
            </w:tcBorders>
          </w:tcPr>
          <w:p w14:paraId="1F37D201" w14:textId="77777777" w:rsidR="005A439E" w:rsidRPr="00381348" w:rsidRDefault="005A439E" w:rsidP="005D7FD6">
            <w:pPr>
              <w:jc w:val="both"/>
              <w:rPr>
                <w:rFonts w:ascii="Arial" w:hAnsi="Arial" w:cs="Arial"/>
                <w:sz w:val="20"/>
                <w:szCs w:val="20"/>
              </w:rPr>
            </w:pPr>
            <w:r w:rsidRPr="00381348">
              <w:rPr>
                <w:rFonts w:ascii="Arial" w:hAnsi="Arial" w:cs="Arial"/>
                <w:sz w:val="20"/>
                <w:szCs w:val="20"/>
              </w:rPr>
              <w:t>Signature</w:t>
            </w:r>
          </w:p>
          <w:p w14:paraId="3B80335A" w14:textId="77777777" w:rsidR="005A439E" w:rsidRPr="00381348" w:rsidRDefault="005A439E" w:rsidP="005D7FD6">
            <w:pPr>
              <w:jc w:val="both"/>
              <w:rPr>
                <w:rFonts w:ascii="Arial" w:hAnsi="Arial" w:cs="Arial"/>
                <w:sz w:val="20"/>
                <w:szCs w:val="20"/>
              </w:rPr>
            </w:pPr>
          </w:p>
          <w:p w14:paraId="403EC602" w14:textId="77777777" w:rsidR="005A439E" w:rsidRPr="00381348" w:rsidRDefault="005A439E" w:rsidP="005D7FD6">
            <w:pPr>
              <w:jc w:val="both"/>
              <w:rPr>
                <w:rFonts w:ascii="Arial" w:hAnsi="Arial" w:cs="Arial"/>
                <w:sz w:val="20"/>
                <w:szCs w:val="20"/>
              </w:rPr>
            </w:pPr>
          </w:p>
          <w:p w14:paraId="433F0B0D" w14:textId="77777777" w:rsidR="005A439E" w:rsidRPr="00381348" w:rsidRDefault="005A439E" w:rsidP="005D7FD6">
            <w:pPr>
              <w:jc w:val="both"/>
              <w:rPr>
                <w:rFonts w:ascii="Arial" w:hAnsi="Arial" w:cs="Arial"/>
                <w:sz w:val="20"/>
                <w:szCs w:val="20"/>
              </w:rPr>
            </w:pPr>
          </w:p>
          <w:p w14:paraId="6497C0C5" w14:textId="77777777" w:rsidR="005A439E" w:rsidRPr="00381348" w:rsidRDefault="005A439E" w:rsidP="005D7FD6">
            <w:pPr>
              <w:jc w:val="both"/>
              <w:rPr>
                <w:rFonts w:ascii="Arial" w:hAnsi="Arial" w:cs="Arial"/>
                <w:sz w:val="20"/>
                <w:szCs w:val="20"/>
              </w:rPr>
            </w:pPr>
          </w:p>
        </w:tc>
      </w:tr>
      <w:tr w:rsidR="005A439E" w:rsidRPr="00381348" w14:paraId="10EF9838" w14:textId="77777777" w:rsidTr="00FB2074">
        <w:tc>
          <w:tcPr>
            <w:tcW w:w="7083" w:type="dxa"/>
            <w:tcBorders>
              <w:top w:val="single" w:sz="4" w:space="0" w:color="auto"/>
            </w:tcBorders>
          </w:tcPr>
          <w:p w14:paraId="0B2120AF" w14:textId="77777777" w:rsidR="005A439E" w:rsidRPr="00381348" w:rsidRDefault="005A439E" w:rsidP="005D7FD6">
            <w:pPr>
              <w:jc w:val="both"/>
              <w:rPr>
                <w:rFonts w:ascii="Arial" w:hAnsi="Arial" w:cs="Arial"/>
                <w:sz w:val="20"/>
                <w:szCs w:val="20"/>
              </w:rPr>
            </w:pPr>
            <w:r>
              <w:rPr>
                <w:rFonts w:ascii="Arial" w:hAnsi="Arial" w:cs="Arial"/>
                <w:sz w:val="20"/>
                <w:szCs w:val="20"/>
              </w:rPr>
              <w:t>Date</w:t>
            </w:r>
          </w:p>
        </w:tc>
      </w:tr>
    </w:tbl>
    <w:p w14:paraId="52AF4A20" w14:textId="77777777" w:rsidR="005A439E" w:rsidRPr="003928DE" w:rsidRDefault="005A439E" w:rsidP="00AC792B">
      <w:pPr>
        <w:jc w:val="both"/>
      </w:pPr>
    </w:p>
    <w:sectPr w:rsidR="005A439E" w:rsidRPr="003928DE" w:rsidSect="00A5626A">
      <w:footerReference w:type="even" r:id="rId13"/>
      <w:footerReference w:type="default" r:id="rId14"/>
      <w:pgSz w:w="12240" w:h="15840" w:code="1"/>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3A0DB" w14:textId="77777777" w:rsidR="00477D37" w:rsidRDefault="00477D37">
      <w:r>
        <w:separator/>
      </w:r>
    </w:p>
  </w:endnote>
  <w:endnote w:type="continuationSeparator" w:id="0">
    <w:p w14:paraId="0E12F7BC" w14:textId="77777777" w:rsidR="00477D37" w:rsidRDefault="0047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D160" w14:textId="77777777" w:rsidR="005A439E" w:rsidRDefault="00470764">
    <w:pPr>
      <w:pStyle w:val="Footer"/>
      <w:framePr w:wrap="around" w:vAnchor="text" w:hAnchor="margin" w:xAlign="center" w:y="1"/>
      <w:rPr>
        <w:rStyle w:val="PageNumber"/>
      </w:rPr>
    </w:pPr>
    <w:r>
      <w:rPr>
        <w:rStyle w:val="PageNumber"/>
      </w:rPr>
      <w:fldChar w:fldCharType="begin"/>
    </w:r>
    <w:r w:rsidR="005A439E">
      <w:rPr>
        <w:rStyle w:val="PageNumber"/>
      </w:rPr>
      <w:instrText xml:space="preserve">PAGE  </w:instrText>
    </w:r>
    <w:r>
      <w:rPr>
        <w:rStyle w:val="PageNumber"/>
      </w:rPr>
      <w:fldChar w:fldCharType="end"/>
    </w:r>
  </w:p>
  <w:p w14:paraId="0944187C" w14:textId="77777777" w:rsidR="005A439E" w:rsidRDefault="005A43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B45B5" w14:textId="77777777" w:rsidR="005A439E" w:rsidRPr="00EA0C3E" w:rsidRDefault="00470764">
    <w:pPr>
      <w:pStyle w:val="Footer"/>
      <w:framePr w:wrap="around" w:vAnchor="text" w:hAnchor="margin" w:xAlign="center" w:y="1"/>
      <w:rPr>
        <w:rStyle w:val="PageNumber"/>
        <w:rFonts w:ascii="Arial" w:hAnsi="Arial" w:cs="Arial"/>
        <w:sz w:val="18"/>
        <w:szCs w:val="18"/>
      </w:rPr>
    </w:pPr>
    <w:r w:rsidRPr="00EA0C3E">
      <w:rPr>
        <w:rStyle w:val="PageNumber"/>
        <w:rFonts w:ascii="Arial" w:hAnsi="Arial" w:cs="Arial"/>
        <w:sz w:val="18"/>
        <w:szCs w:val="18"/>
      </w:rPr>
      <w:fldChar w:fldCharType="begin"/>
    </w:r>
    <w:r w:rsidR="005A439E" w:rsidRPr="00EA0C3E">
      <w:rPr>
        <w:rStyle w:val="PageNumber"/>
        <w:rFonts w:ascii="Arial" w:hAnsi="Arial" w:cs="Arial"/>
        <w:sz w:val="18"/>
        <w:szCs w:val="18"/>
      </w:rPr>
      <w:instrText xml:space="preserve">PAGE  </w:instrText>
    </w:r>
    <w:r w:rsidRPr="00EA0C3E">
      <w:rPr>
        <w:rStyle w:val="PageNumber"/>
        <w:rFonts w:ascii="Arial" w:hAnsi="Arial" w:cs="Arial"/>
        <w:sz w:val="18"/>
        <w:szCs w:val="18"/>
      </w:rPr>
      <w:fldChar w:fldCharType="separate"/>
    </w:r>
    <w:r w:rsidR="00827CA9">
      <w:rPr>
        <w:rStyle w:val="PageNumber"/>
        <w:rFonts w:ascii="Arial" w:hAnsi="Arial" w:cs="Arial"/>
        <w:noProof/>
        <w:sz w:val="18"/>
        <w:szCs w:val="18"/>
      </w:rPr>
      <w:t>7</w:t>
    </w:r>
    <w:r w:rsidRPr="00EA0C3E">
      <w:rPr>
        <w:rStyle w:val="PageNumber"/>
        <w:rFonts w:ascii="Arial" w:hAnsi="Arial" w:cs="Arial"/>
        <w:sz w:val="18"/>
        <w:szCs w:val="18"/>
      </w:rPr>
      <w:fldChar w:fldCharType="end"/>
    </w:r>
  </w:p>
  <w:p w14:paraId="445DF58A" w14:textId="77777777" w:rsidR="005A439E" w:rsidRDefault="005A43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D93B5" w14:textId="77777777" w:rsidR="00477D37" w:rsidRDefault="00477D37">
      <w:r>
        <w:separator/>
      </w:r>
    </w:p>
  </w:footnote>
  <w:footnote w:type="continuationSeparator" w:id="0">
    <w:p w14:paraId="41D84913" w14:textId="77777777" w:rsidR="00477D37" w:rsidRDefault="00477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F4A4D"/>
    <w:multiLevelType w:val="hybridMultilevel"/>
    <w:tmpl w:val="7188C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AB7C7A"/>
    <w:multiLevelType w:val="multilevel"/>
    <w:tmpl w:val="53F407D6"/>
    <w:lvl w:ilvl="0">
      <w:start w:val="1"/>
      <w:numFmt w:val="upperRoman"/>
      <w:pStyle w:val="Heading1"/>
      <w:lvlText w:val="%1."/>
      <w:lvlJc w:val="left"/>
      <w:pPr>
        <w:tabs>
          <w:tab w:val="num" w:pos="4320"/>
        </w:tabs>
      </w:pPr>
      <w:rPr>
        <w:rFonts w:ascii="Arial" w:hAnsi="Arial" w:cs="Arial" w:hint="default"/>
        <w:sz w:val="22"/>
        <w:szCs w:val="22"/>
      </w:rPr>
    </w:lvl>
    <w:lvl w:ilvl="1">
      <w:start w:val="1"/>
      <w:numFmt w:val="upperLetter"/>
      <w:pStyle w:val="Heading2"/>
      <w:lvlText w:val="%2."/>
      <w:lvlJc w:val="left"/>
      <w:pPr>
        <w:tabs>
          <w:tab w:val="num" w:pos="1980"/>
        </w:tabs>
        <w:ind w:left="1620"/>
      </w:pPr>
      <w:rPr>
        <w:rFonts w:cs="Times New Roman" w:hint="default"/>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ascii="Times New Roman" w:hAnsi="Times New Roman" w:cs="Times New Roman" w:hint="default"/>
        <w:b w:val="0"/>
        <w:i w:val="0"/>
        <w:color w:val="auto"/>
        <w:sz w:val="24"/>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2" w15:restartNumberingAfterBreak="0">
    <w:nsid w:val="4D5327B2"/>
    <w:multiLevelType w:val="hybridMultilevel"/>
    <w:tmpl w:val="077EB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2993184">
    <w:abstractNumId w:val="1"/>
  </w:num>
  <w:num w:numId="2" w16cid:durableId="2111872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875671">
    <w:abstractNumId w:val="2"/>
  </w:num>
  <w:num w:numId="4" w16cid:durableId="8916969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0B"/>
    <w:rsid w:val="00011413"/>
    <w:rsid w:val="0001614E"/>
    <w:rsid w:val="000640D1"/>
    <w:rsid w:val="000969AE"/>
    <w:rsid w:val="000A5C20"/>
    <w:rsid w:val="000E1A83"/>
    <w:rsid w:val="000E3994"/>
    <w:rsid w:val="000F148A"/>
    <w:rsid w:val="00111DBF"/>
    <w:rsid w:val="001161DD"/>
    <w:rsid w:val="001453D0"/>
    <w:rsid w:val="00153C35"/>
    <w:rsid w:val="001823B0"/>
    <w:rsid w:val="001B3711"/>
    <w:rsid w:val="001C6368"/>
    <w:rsid w:val="002331B0"/>
    <w:rsid w:val="002750E3"/>
    <w:rsid w:val="00284ABA"/>
    <w:rsid w:val="00286FFB"/>
    <w:rsid w:val="002A6D01"/>
    <w:rsid w:val="002B6C1B"/>
    <w:rsid w:val="003044F8"/>
    <w:rsid w:val="00381348"/>
    <w:rsid w:val="003928DE"/>
    <w:rsid w:val="003A0F79"/>
    <w:rsid w:val="003B43B6"/>
    <w:rsid w:val="003B62C2"/>
    <w:rsid w:val="00470764"/>
    <w:rsid w:val="00477D37"/>
    <w:rsid w:val="004A36F9"/>
    <w:rsid w:val="004B6091"/>
    <w:rsid w:val="004D08B8"/>
    <w:rsid w:val="004D7B8E"/>
    <w:rsid w:val="004F5190"/>
    <w:rsid w:val="0051231E"/>
    <w:rsid w:val="00512B17"/>
    <w:rsid w:val="00532DAC"/>
    <w:rsid w:val="0054697F"/>
    <w:rsid w:val="005A439E"/>
    <w:rsid w:val="005B2556"/>
    <w:rsid w:val="005D2A31"/>
    <w:rsid w:val="005D7FD6"/>
    <w:rsid w:val="00634E79"/>
    <w:rsid w:val="0064570B"/>
    <w:rsid w:val="00646C77"/>
    <w:rsid w:val="00652ABB"/>
    <w:rsid w:val="00653E08"/>
    <w:rsid w:val="00663378"/>
    <w:rsid w:val="006812E2"/>
    <w:rsid w:val="006928B4"/>
    <w:rsid w:val="00693F09"/>
    <w:rsid w:val="006B2448"/>
    <w:rsid w:val="006C0218"/>
    <w:rsid w:val="006F2E8A"/>
    <w:rsid w:val="0070500E"/>
    <w:rsid w:val="00706AA0"/>
    <w:rsid w:val="00715B2C"/>
    <w:rsid w:val="007619BC"/>
    <w:rsid w:val="00771CFD"/>
    <w:rsid w:val="007A71D7"/>
    <w:rsid w:val="007C360D"/>
    <w:rsid w:val="008027BE"/>
    <w:rsid w:val="00825E5A"/>
    <w:rsid w:val="00827CA9"/>
    <w:rsid w:val="00892C1D"/>
    <w:rsid w:val="008E37C2"/>
    <w:rsid w:val="0090083D"/>
    <w:rsid w:val="00905334"/>
    <w:rsid w:val="00915533"/>
    <w:rsid w:val="0093517D"/>
    <w:rsid w:val="00992F94"/>
    <w:rsid w:val="009E5D0B"/>
    <w:rsid w:val="00A13967"/>
    <w:rsid w:val="00A34064"/>
    <w:rsid w:val="00A5626A"/>
    <w:rsid w:val="00A862DE"/>
    <w:rsid w:val="00AA79D3"/>
    <w:rsid w:val="00AB02D6"/>
    <w:rsid w:val="00AC792B"/>
    <w:rsid w:val="00AD0FE4"/>
    <w:rsid w:val="00B1365F"/>
    <w:rsid w:val="00B93B61"/>
    <w:rsid w:val="00BB029F"/>
    <w:rsid w:val="00BC6F04"/>
    <w:rsid w:val="00BD6F85"/>
    <w:rsid w:val="00BF3A75"/>
    <w:rsid w:val="00BF74C0"/>
    <w:rsid w:val="00C26DF9"/>
    <w:rsid w:val="00C40BD9"/>
    <w:rsid w:val="00C441F1"/>
    <w:rsid w:val="00C8178D"/>
    <w:rsid w:val="00CB3863"/>
    <w:rsid w:val="00CD62E1"/>
    <w:rsid w:val="00CF1399"/>
    <w:rsid w:val="00CF47B1"/>
    <w:rsid w:val="00D66D7F"/>
    <w:rsid w:val="00D826BD"/>
    <w:rsid w:val="00DC6E4A"/>
    <w:rsid w:val="00DE364C"/>
    <w:rsid w:val="00DE67B6"/>
    <w:rsid w:val="00DF0E0D"/>
    <w:rsid w:val="00DF1B78"/>
    <w:rsid w:val="00DF7560"/>
    <w:rsid w:val="00E000AB"/>
    <w:rsid w:val="00E1406B"/>
    <w:rsid w:val="00E66DDF"/>
    <w:rsid w:val="00E77526"/>
    <w:rsid w:val="00EA0C3E"/>
    <w:rsid w:val="00F210B7"/>
    <w:rsid w:val="00F24C0F"/>
    <w:rsid w:val="00F8773F"/>
    <w:rsid w:val="00FA47A6"/>
    <w:rsid w:val="00FB2074"/>
    <w:rsid w:val="00FD2A63"/>
    <w:rsid w:val="00FE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5FD1B61A"/>
  <w15:docId w15:val="{75868437-76CD-444D-94E2-F4A577FD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00E"/>
    <w:rPr>
      <w:sz w:val="24"/>
      <w:szCs w:val="24"/>
    </w:rPr>
  </w:style>
  <w:style w:type="paragraph" w:styleId="Heading1">
    <w:name w:val="heading 1"/>
    <w:basedOn w:val="Normal"/>
    <w:link w:val="Heading1Char"/>
    <w:uiPriority w:val="99"/>
    <w:qFormat/>
    <w:rsid w:val="0070500E"/>
    <w:pPr>
      <w:numPr>
        <w:numId w:val="1"/>
      </w:numPr>
      <w:tabs>
        <w:tab w:val="clear" w:pos="4320"/>
        <w:tab w:val="num" w:pos="360"/>
      </w:tabs>
      <w:spacing w:after="120"/>
      <w:outlineLvl w:val="0"/>
    </w:pPr>
    <w:rPr>
      <w:b/>
      <w:bCs/>
      <w:sz w:val="28"/>
      <w:szCs w:val="20"/>
      <w:u w:val="single"/>
    </w:rPr>
  </w:style>
  <w:style w:type="paragraph" w:styleId="Heading2">
    <w:name w:val="heading 2"/>
    <w:basedOn w:val="Normal"/>
    <w:link w:val="Heading2Char"/>
    <w:uiPriority w:val="99"/>
    <w:qFormat/>
    <w:rsid w:val="0070500E"/>
    <w:pPr>
      <w:numPr>
        <w:ilvl w:val="1"/>
        <w:numId w:val="1"/>
      </w:numPr>
      <w:tabs>
        <w:tab w:val="num" w:pos="1080"/>
      </w:tabs>
      <w:spacing w:after="120"/>
      <w:ind w:left="720"/>
      <w:outlineLvl w:val="1"/>
    </w:pPr>
    <w:rPr>
      <w:bCs/>
      <w:sz w:val="28"/>
      <w:szCs w:val="20"/>
      <w:u w:val="single"/>
    </w:rPr>
  </w:style>
  <w:style w:type="paragraph" w:styleId="Heading3">
    <w:name w:val="heading 3"/>
    <w:basedOn w:val="Normal"/>
    <w:link w:val="Heading3Char"/>
    <w:uiPriority w:val="99"/>
    <w:qFormat/>
    <w:rsid w:val="0070500E"/>
    <w:pPr>
      <w:numPr>
        <w:ilvl w:val="2"/>
        <w:numId w:val="1"/>
      </w:numPr>
      <w:spacing w:after="240"/>
      <w:outlineLvl w:val="2"/>
    </w:pPr>
    <w:rPr>
      <w:b/>
      <w:bCs/>
      <w:szCs w:val="20"/>
    </w:rPr>
  </w:style>
  <w:style w:type="paragraph" w:styleId="Heading4">
    <w:name w:val="heading 4"/>
    <w:basedOn w:val="Normal"/>
    <w:link w:val="Heading4Char"/>
    <w:uiPriority w:val="99"/>
    <w:qFormat/>
    <w:rsid w:val="0070500E"/>
    <w:pPr>
      <w:numPr>
        <w:ilvl w:val="3"/>
        <w:numId w:val="1"/>
      </w:numPr>
      <w:spacing w:after="240"/>
      <w:outlineLvl w:val="3"/>
    </w:pPr>
    <w:rPr>
      <w:sz w:val="28"/>
      <w:szCs w:val="20"/>
    </w:rPr>
  </w:style>
  <w:style w:type="paragraph" w:styleId="Heading5">
    <w:name w:val="heading 5"/>
    <w:basedOn w:val="Normal"/>
    <w:link w:val="Heading5Char"/>
    <w:uiPriority w:val="99"/>
    <w:qFormat/>
    <w:rsid w:val="0070500E"/>
    <w:pPr>
      <w:numPr>
        <w:ilvl w:val="4"/>
        <w:numId w:val="1"/>
      </w:numPr>
      <w:spacing w:after="240"/>
      <w:outlineLvl w:val="4"/>
    </w:pPr>
    <w:rPr>
      <w:szCs w:val="20"/>
    </w:rPr>
  </w:style>
  <w:style w:type="paragraph" w:styleId="Heading6">
    <w:name w:val="heading 6"/>
    <w:basedOn w:val="Normal"/>
    <w:link w:val="Heading6Char"/>
    <w:uiPriority w:val="99"/>
    <w:qFormat/>
    <w:rsid w:val="0070500E"/>
    <w:pPr>
      <w:numPr>
        <w:ilvl w:val="5"/>
        <w:numId w:val="1"/>
      </w:numPr>
      <w:spacing w:after="240"/>
      <w:outlineLvl w:val="5"/>
    </w:pPr>
    <w:rPr>
      <w:szCs w:val="20"/>
    </w:rPr>
  </w:style>
  <w:style w:type="paragraph" w:styleId="Heading7">
    <w:name w:val="heading 7"/>
    <w:basedOn w:val="Normal"/>
    <w:link w:val="Heading7Char"/>
    <w:uiPriority w:val="99"/>
    <w:qFormat/>
    <w:rsid w:val="0070500E"/>
    <w:pPr>
      <w:numPr>
        <w:ilvl w:val="6"/>
        <w:numId w:val="1"/>
      </w:numPr>
      <w:spacing w:after="240"/>
      <w:outlineLvl w:val="6"/>
    </w:pPr>
    <w:rPr>
      <w:szCs w:val="20"/>
    </w:rPr>
  </w:style>
  <w:style w:type="paragraph" w:styleId="Heading8">
    <w:name w:val="heading 8"/>
    <w:basedOn w:val="Normal"/>
    <w:link w:val="Heading8Char"/>
    <w:uiPriority w:val="99"/>
    <w:qFormat/>
    <w:rsid w:val="0070500E"/>
    <w:pPr>
      <w:numPr>
        <w:ilvl w:val="7"/>
        <w:numId w:val="1"/>
      </w:numPr>
      <w:spacing w:after="240"/>
      <w:outlineLvl w:val="7"/>
    </w:pPr>
    <w:rPr>
      <w:szCs w:val="20"/>
    </w:rPr>
  </w:style>
  <w:style w:type="paragraph" w:styleId="Heading9">
    <w:name w:val="heading 9"/>
    <w:basedOn w:val="Normal"/>
    <w:next w:val="Normal"/>
    <w:link w:val="Heading9Char"/>
    <w:uiPriority w:val="99"/>
    <w:qFormat/>
    <w:rsid w:val="0070500E"/>
    <w:pPr>
      <w:keepNext/>
      <w:numPr>
        <w:ilvl w:val="8"/>
        <w:numId w:val="1"/>
      </w:numPr>
      <w:spacing w:after="240"/>
      <w:jc w:val="center"/>
      <w:outlineLvl w:val="8"/>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76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7076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7076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7076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7076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70764"/>
    <w:rPr>
      <w:rFonts w:ascii="Calibri" w:hAnsi="Calibri" w:cs="Times New Roman"/>
      <w:b/>
      <w:bCs/>
    </w:rPr>
  </w:style>
  <w:style w:type="character" w:customStyle="1" w:styleId="Heading7Char">
    <w:name w:val="Heading 7 Char"/>
    <w:basedOn w:val="DefaultParagraphFont"/>
    <w:link w:val="Heading7"/>
    <w:uiPriority w:val="99"/>
    <w:semiHidden/>
    <w:locked/>
    <w:rsid w:val="0047076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7076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470764"/>
    <w:rPr>
      <w:rFonts w:ascii="Cambria" w:hAnsi="Cambria" w:cs="Times New Roman"/>
    </w:rPr>
  </w:style>
  <w:style w:type="paragraph" w:styleId="Index1">
    <w:name w:val="index 1"/>
    <w:basedOn w:val="Normal"/>
    <w:next w:val="Normal"/>
    <w:autoRedefine/>
    <w:uiPriority w:val="99"/>
    <w:semiHidden/>
    <w:rsid w:val="0070500E"/>
    <w:pPr>
      <w:ind w:left="240" w:hanging="240"/>
    </w:pPr>
  </w:style>
  <w:style w:type="paragraph" w:styleId="IndexHeading">
    <w:name w:val="index heading"/>
    <w:basedOn w:val="Normal"/>
    <w:next w:val="Index1"/>
    <w:uiPriority w:val="99"/>
    <w:semiHidden/>
    <w:rsid w:val="0070500E"/>
    <w:rPr>
      <w:b/>
      <w:szCs w:val="20"/>
    </w:rPr>
  </w:style>
  <w:style w:type="paragraph" w:styleId="BodyText">
    <w:name w:val="Body Text"/>
    <w:basedOn w:val="Normal"/>
    <w:link w:val="BodyTextChar"/>
    <w:uiPriority w:val="99"/>
    <w:rsid w:val="0070500E"/>
    <w:pPr>
      <w:spacing w:after="240"/>
      <w:ind w:firstLine="1440"/>
    </w:pPr>
    <w:rPr>
      <w:szCs w:val="20"/>
    </w:rPr>
  </w:style>
  <w:style w:type="character" w:customStyle="1" w:styleId="BodyTextChar">
    <w:name w:val="Body Text Char"/>
    <w:basedOn w:val="DefaultParagraphFont"/>
    <w:link w:val="BodyText"/>
    <w:uiPriority w:val="99"/>
    <w:semiHidden/>
    <w:locked/>
    <w:rsid w:val="00470764"/>
    <w:rPr>
      <w:rFonts w:cs="Times New Roman"/>
      <w:sz w:val="24"/>
      <w:szCs w:val="24"/>
    </w:rPr>
  </w:style>
  <w:style w:type="paragraph" w:customStyle="1" w:styleId="TitleCover">
    <w:name w:val="Title Cover"/>
    <w:basedOn w:val="Normal"/>
    <w:next w:val="Normal"/>
    <w:uiPriority w:val="99"/>
    <w:rsid w:val="0070500E"/>
    <w:pPr>
      <w:keepNext/>
      <w:keepLines/>
      <w:pBdr>
        <w:bottom w:val="single" w:sz="18" w:space="20" w:color="auto"/>
      </w:pBdr>
      <w:spacing w:before="480" w:after="240"/>
    </w:pPr>
    <w:rPr>
      <w:rFonts w:ascii="Arial Black" w:hAnsi="Arial Black"/>
      <w:spacing w:val="-30"/>
      <w:kern w:val="28"/>
      <w:sz w:val="48"/>
      <w:szCs w:val="20"/>
    </w:rPr>
  </w:style>
  <w:style w:type="paragraph" w:styleId="Header">
    <w:name w:val="header"/>
    <w:basedOn w:val="Normal"/>
    <w:link w:val="HeaderChar"/>
    <w:uiPriority w:val="99"/>
    <w:rsid w:val="0070500E"/>
    <w:pPr>
      <w:tabs>
        <w:tab w:val="center" w:pos="4320"/>
        <w:tab w:val="right" w:pos="8640"/>
      </w:tabs>
    </w:pPr>
  </w:style>
  <w:style w:type="character" w:customStyle="1" w:styleId="HeaderChar">
    <w:name w:val="Header Char"/>
    <w:basedOn w:val="DefaultParagraphFont"/>
    <w:link w:val="Header"/>
    <w:uiPriority w:val="99"/>
    <w:semiHidden/>
    <w:locked/>
    <w:rsid w:val="00470764"/>
    <w:rPr>
      <w:rFonts w:cs="Times New Roman"/>
      <w:sz w:val="24"/>
      <w:szCs w:val="24"/>
    </w:rPr>
  </w:style>
  <w:style w:type="paragraph" w:styleId="Footer">
    <w:name w:val="footer"/>
    <w:basedOn w:val="Normal"/>
    <w:link w:val="FooterChar"/>
    <w:uiPriority w:val="99"/>
    <w:rsid w:val="0070500E"/>
    <w:pPr>
      <w:tabs>
        <w:tab w:val="center" w:pos="4320"/>
        <w:tab w:val="right" w:pos="8640"/>
      </w:tabs>
    </w:pPr>
  </w:style>
  <w:style w:type="character" w:customStyle="1" w:styleId="FooterChar">
    <w:name w:val="Footer Char"/>
    <w:basedOn w:val="DefaultParagraphFont"/>
    <w:link w:val="Footer"/>
    <w:uiPriority w:val="99"/>
    <w:semiHidden/>
    <w:locked/>
    <w:rsid w:val="00470764"/>
    <w:rPr>
      <w:rFonts w:cs="Times New Roman"/>
      <w:sz w:val="24"/>
      <w:szCs w:val="24"/>
    </w:rPr>
  </w:style>
  <w:style w:type="character" w:styleId="Hyperlink">
    <w:name w:val="Hyperlink"/>
    <w:basedOn w:val="DefaultParagraphFont"/>
    <w:uiPriority w:val="99"/>
    <w:rsid w:val="0070500E"/>
    <w:rPr>
      <w:rFonts w:cs="Times New Roman"/>
      <w:color w:val="0000FF"/>
      <w:u w:val="single"/>
    </w:rPr>
  </w:style>
  <w:style w:type="paragraph" w:styleId="BodyText2">
    <w:name w:val="Body Text 2"/>
    <w:basedOn w:val="Normal"/>
    <w:link w:val="BodyText2Char"/>
    <w:uiPriority w:val="99"/>
    <w:rsid w:val="0070500E"/>
    <w:rPr>
      <w:bCs/>
      <w:i/>
      <w:iCs/>
    </w:rPr>
  </w:style>
  <w:style w:type="character" w:customStyle="1" w:styleId="BodyText2Char">
    <w:name w:val="Body Text 2 Char"/>
    <w:basedOn w:val="DefaultParagraphFont"/>
    <w:link w:val="BodyText2"/>
    <w:uiPriority w:val="99"/>
    <w:semiHidden/>
    <w:locked/>
    <w:rsid w:val="00470764"/>
    <w:rPr>
      <w:rFonts w:cs="Times New Roman"/>
      <w:sz w:val="24"/>
      <w:szCs w:val="24"/>
    </w:rPr>
  </w:style>
  <w:style w:type="paragraph" w:styleId="BodyTextIndent">
    <w:name w:val="Body Text Indent"/>
    <w:basedOn w:val="Normal"/>
    <w:link w:val="BodyTextIndentChar"/>
    <w:uiPriority w:val="99"/>
    <w:rsid w:val="0070500E"/>
    <w:pPr>
      <w:ind w:left="1080"/>
    </w:pPr>
    <w:rPr>
      <w:bCs/>
      <w:i/>
      <w:iCs/>
    </w:rPr>
  </w:style>
  <w:style w:type="character" w:customStyle="1" w:styleId="BodyTextIndentChar">
    <w:name w:val="Body Text Indent Char"/>
    <w:basedOn w:val="DefaultParagraphFont"/>
    <w:link w:val="BodyTextIndent"/>
    <w:uiPriority w:val="99"/>
    <w:semiHidden/>
    <w:locked/>
    <w:rsid w:val="00470764"/>
    <w:rPr>
      <w:rFonts w:cs="Times New Roman"/>
      <w:sz w:val="24"/>
      <w:szCs w:val="24"/>
    </w:rPr>
  </w:style>
  <w:style w:type="character" w:styleId="FollowedHyperlink">
    <w:name w:val="FollowedHyperlink"/>
    <w:basedOn w:val="DefaultParagraphFont"/>
    <w:uiPriority w:val="99"/>
    <w:rsid w:val="0070500E"/>
    <w:rPr>
      <w:rFonts w:cs="Times New Roman"/>
      <w:color w:val="800080"/>
      <w:u w:val="single"/>
    </w:rPr>
  </w:style>
  <w:style w:type="paragraph" w:styleId="HTMLPreformatted">
    <w:name w:val="HTML Preformatted"/>
    <w:basedOn w:val="Normal"/>
    <w:link w:val="HTMLPreformattedChar"/>
    <w:uiPriority w:val="99"/>
    <w:rsid w:val="00705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70764"/>
    <w:rPr>
      <w:rFonts w:ascii="Courier New" w:hAnsi="Courier New" w:cs="Courier New"/>
      <w:sz w:val="20"/>
      <w:szCs w:val="20"/>
    </w:rPr>
  </w:style>
  <w:style w:type="character" w:styleId="PageNumber">
    <w:name w:val="page number"/>
    <w:basedOn w:val="DefaultParagraphFont"/>
    <w:uiPriority w:val="99"/>
    <w:rsid w:val="0070500E"/>
    <w:rPr>
      <w:rFonts w:cs="Times New Roman"/>
    </w:rPr>
  </w:style>
  <w:style w:type="paragraph" w:styleId="BodyText3">
    <w:name w:val="Body Text 3"/>
    <w:basedOn w:val="Normal"/>
    <w:link w:val="BodyText3Char"/>
    <w:uiPriority w:val="99"/>
    <w:rsid w:val="0070500E"/>
    <w:pPr>
      <w:pBdr>
        <w:top w:val="single" w:sz="4" w:space="1" w:color="auto"/>
        <w:left w:val="single" w:sz="4" w:space="4" w:color="auto"/>
        <w:bottom w:val="single" w:sz="4" w:space="1" w:color="auto"/>
        <w:right w:val="single" w:sz="4" w:space="4" w:color="auto"/>
      </w:pBdr>
    </w:pPr>
  </w:style>
  <w:style w:type="character" w:customStyle="1" w:styleId="BodyText3Char">
    <w:name w:val="Body Text 3 Char"/>
    <w:basedOn w:val="DefaultParagraphFont"/>
    <w:link w:val="BodyText3"/>
    <w:uiPriority w:val="99"/>
    <w:semiHidden/>
    <w:locked/>
    <w:rsid w:val="00470764"/>
    <w:rPr>
      <w:rFonts w:cs="Times New Roman"/>
      <w:sz w:val="16"/>
      <w:szCs w:val="16"/>
    </w:rPr>
  </w:style>
  <w:style w:type="paragraph" w:customStyle="1" w:styleId="em2">
    <w:name w:val="em2"/>
    <w:basedOn w:val="Normal"/>
    <w:uiPriority w:val="99"/>
    <w:rsid w:val="0070500E"/>
    <w:pPr>
      <w:spacing w:before="100" w:beforeAutospacing="1" w:after="100" w:afterAutospacing="1"/>
      <w:ind w:left="480"/>
    </w:pPr>
    <w:rPr>
      <w:rFonts w:ascii="Arial Unicode MS" w:eastAsia="Arial Unicode MS"/>
    </w:rPr>
  </w:style>
  <w:style w:type="paragraph" w:styleId="NormalWeb">
    <w:name w:val="Normal (Web)"/>
    <w:basedOn w:val="Normal"/>
    <w:uiPriority w:val="99"/>
    <w:rsid w:val="0070500E"/>
    <w:pPr>
      <w:spacing w:before="100" w:beforeAutospacing="1" w:after="100" w:afterAutospacing="1"/>
    </w:pPr>
    <w:rPr>
      <w:rFonts w:ascii="Arial Unicode MS" w:eastAsia="Arial Unicode MS"/>
    </w:rPr>
  </w:style>
  <w:style w:type="paragraph" w:styleId="TOC1">
    <w:name w:val="toc 1"/>
    <w:basedOn w:val="Normal"/>
    <w:next w:val="Normal"/>
    <w:uiPriority w:val="99"/>
    <w:semiHidden/>
    <w:rsid w:val="0070500E"/>
    <w:pPr>
      <w:tabs>
        <w:tab w:val="right" w:leader="dot" w:pos="9540"/>
      </w:tabs>
      <w:overflowPunct w:val="0"/>
      <w:autoSpaceDE w:val="0"/>
      <w:autoSpaceDN w:val="0"/>
      <w:adjustRightInd w:val="0"/>
      <w:textAlignment w:val="baseline"/>
    </w:pPr>
    <w:rPr>
      <w:rFonts w:ascii="Arial" w:hAnsi="Arial"/>
      <w:szCs w:val="20"/>
    </w:rPr>
  </w:style>
  <w:style w:type="paragraph" w:customStyle="1" w:styleId="Level1">
    <w:name w:val="Level 1"/>
    <w:basedOn w:val="Normal"/>
    <w:uiPriority w:val="99"/>
    <w:rsid w:val="0070500E"/>
    <w:pPr>
      <w:overflowPunct w:val="0"/>
      <w:autoSpaceDE w:val="0"/>
      <w:autoSpaceDN w:val="0"/>
      <w:adjustRightInd w:val="0"/>
      <w:textAlignment w:val="baseline"/>
    </w:pPr>
    <w:rPr>
      <w:rFonts w:ascii="Arial" w:hAnsi="Arial"/>
      <w:b/>
      <w:szCs w:val="20"/>
    </w:rPr>
  </w:style>
  <w:style w:type="paragraph" w:styleId="FootnoteText">
    <w:name w:val="footnote text"/>
    <w:basedOn w:val="Normal"/>
    <w:link w:val="FootnoteTextChar"/>
    <w:uiPriority w:val="99"/>
    <w:semiHidden/>
    <w:rsid w:val="0070500E"/>
    <w:rPr>
      <w:sz w:val="20"/>
      <w:szCs w:val="20"/>
    </w:rPr>
  </w:style>
  <w:style w:type="character" w:customStyle="1" w:styleId="FootnoteTextChar">
    <w:name w:val="Footnote Text Char"/>
    <w:basedOn w:val="DefaultParagraphFont"/>
    <w:link w:val="FootnoteText"/>
    <w:uiPriority w:val="99"/>
    <w:semiHidden/>
    <w:locked/>
    <w:rsid w:val="00470764"/>
    <w:rPr>
      <w:rFonts w:cs="Times New Roman"/>
      <w:sz w:val="20"/>
      <w:szCs w:val="20"/>
    </w:rPr>
  </w:style>
  <w:style w:type="character" w:styleId="FootnoteReference">
    <w:name w:val="footnote reference"/>
    <w:basedOn w:val="DefaultParagraphFont"/>
    <w:uiPriority w:val="99"/>
    <w:semiHidden/>
    <w:rsid w:val="0070500E"/>
    <w:rPr>
      <w:rFonts w:cs="Times New Roman"/>
      <w:vertAlign w:val="superscript"/>
    </w:rPr>
  </w:style>
  <w:style w:type="character" w:styleId="CommentReference">
    <w:name w:val="annotation reference"/>
    <w:basedOn w:val="DefaultParagraphFont"/>
    <w:uiPriority w:val="99"/>
    <w:semiHidden/>
    <w:rsid w:val="0070500E"/>
    <w:rPr>
      <w:rFonts w:cs="Times New Roman"/>
      <w:sz w:val="16"/>
      <w:szCs w:val="16"/>
    </w:rPr>
  </w:style>
  <w:style w:type="paragraph" w:styleId="CommentText">
    <w:name w:val="annotation text"/>
    <w:basedOn w:val="Normal"/>
    <w:link w:val="CommentTextChar"/>
    <w:uiPriority w:val="99"/>
    <w:semiHidden/>
    <w:rsid w:val="0070500E"/>
    <w:rPr>
      <w:sz w:val="20"/>
      <w:szCs w:val="20"/>
    </w:rPr>
  </w:style>
  <w:style w:type="character" w:customStyle="1" w:styleId="CommentTextChar">
    <w:name w:val="Comment Text Char"/>
    <w:basedOn w:val="DefaultParagraphFont"/>
    <w:link w:val="CommentText"/>
    <w:uiPriority w:val="99"/>
    <w:semiHidden/>
    <w:locked/>
    <w:rsid w:val="00470764"/>
    <w:rPr>
      <w:rFonts w:cs="Times New Roman"/>
      <w:sz w:val="20"/>
      <w:szCs w:val="20"/>
    </w:rPr>
  </w:style>
  <w:style w:type="paragraph" w:styleId="BodyTextIndent2">
    <w:name w:val="Body Text Indent 2"/>
    <w:basedOn w:val="Normal"/>
    <w:link w:val="BodyTextIndent2Char"/>
    <w:uiPriority w:val="99"/>
    <w:rsid w:val="0070500E"/>
    <w:pPr>
      <w:overflowPunct w:val="0"/>
      <w:autoSpaceDE w:val="0"/>
      <w:autoSpaceDN w:val="0"/>
      <w:adjustRightInd w:val="0"/>
      <w:spacing w:line="480" w:lineRule="auto"/>
      <w:ind w:left="720" w:firstLine="720"/>
      <w:textAlignment w:val="baseline"/>
    </w:pPr>
    <w:rPr>
      <w:szCs w:val="20"/>
      <w:u w:val="single"/>
    </w:rPr>
  </w:style>
  <w:style w:type="character" w:customStyle="1" w:styleId="BodyTextIndent2Char">
    <w:name w:val="Body Text Indent 2 Char"/>
    <w:basedOn w:val="DefaultParagraphFont"/>
    <w:link w:val="BodyTextIndent2"/>
    <w:uiPriority w:val="99"/>
    <w:semiHidden/>
    <w:locked/>
    <w:rsid w:val="00470764"/>
    <w:rPr>
      <w:rFonts w:cs="Times New Roman"/>
      <w:sz w:val="24"/>
      <w:szCs w:val="24"/>
    </w:rPr>
  </w:style>
  <w:style w:type="paragraph" w:styleId="BodyTextIndent3">
    <w:name w:val="Body Text Indent 3"/>
    <w:basedOn w:val="Normal"/>
    <w:link w:val="BodyTextIndent3Char"/>
    <w:uiPriority w:val="99"/>
    <w:rsid w:val="0070500E"/>
    <w:pPr>
      <w:pBdr>
        <w:top w:val="single" w:sz="4" w:space="1" w:color="auto"/>
        <w:left w:val="single" w:sz="4" w:space="4" w:color="auto"/>
        <w:bottom w:val="single" w:sz="4" w:space="1" w:color="auto"/>
        <w:right w:val="single" w:sz="4" w:space="4" w:color="auto"/>
      </w:pBdr>
      <w:ind w:firstLine="720"/>
      <w:jc w:val="both"/>
    </w:pPr>
  </w:style>
  <w:style w:type="character" w:customStyle="1" w:styleId="BodyTextIndent3Char">
    <w:name w:val="Body Text Indent 3 Char"/>
    <w:basedOn w:val="DefaultParagraphFont"/>
    <w:link w:val="BodyTextIndent3"/>
    <w:uiPriority w:val="99"/>
    <w:semiHidden/>
    <w:locked/>
    <w:rsid w:val="00470764"/>
    <w:rPr>
      <w:rFonts w:cs="Times New Roman"/>
      <w:sz w:val="16"/>
      <w:szCs w:val="16"/>
    </w:rPr>
  </w:style>
  <w:style w:type="paragraph" w:styleId="BlockText">
    <w:name w:val="Block Text"/>
    <w:basedOn w:val="Normal"/>
    <w:uiPriority w:val="99"/>
    <w:rsid w:val="0070500E"/>
    <w:pPr>
      <w:ind w:left="720" w:right="720"/>
    </w:pPr>
  </w:style>
  <w:style w:type="character" w:styleId="Strong">
    <w:name w:val="Strong"/>
    <w:basedOn w:val="DefaultParagraphFont"/>
    <w:uiPriority w:val="99"/>
    <w:qFormat/>
    <w:rsid w:val="00B93B61"/>
    <w:rPr>
      <w:rFonts w:cs="Times New Roman"/>
      <w:b/>
      <w:bCs/>
    </w:rPr>
  </w:style>
  <w:style w:type="paragraph" w:styleId="BalloonText">
    <w:name w:val="Balloon Text"/>
    <w:basedOn w:val="Normal"/>
    <w:link w:val="BalloonTextChar"/>
    <w:uiPriority w:val="99"/>
    <w:semiHidden/>
    <w:rsid w:val="00DF75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64"/>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574444">
      <w:marLeft w:val="0"/>
      <w:marRight w:val="0"/>
      <w:marTop w:val="0"/>
      <w:marBottom w:val="0"/>
      <w:divBdr>
        <w:top w:val="none" w:sz="0" w:space="0" w:color="auto"/>
        <w:left w:val="none" w:sz="0" w:space="0" w:color="auto"/>
        <w:bottom w:val="none" w:sz="0" w:space="0" w:color="auto"/>
        <w:right w:val="none" w:sz="0" w:space="0" w:color="auto"/>
      </w:divBdr>
    </w:div>
    <w:div w:id="438574445">
      <w:marLeft w:val="0"/>
      <w:marRight w:val="0"/>
      <w:marTop w:val="0"/>
      <w:marBottom w:val="0"/>
      <w:divBdr>
        <w:top w:val="none" w:sz="0" w:space="0" w:color="auto"/>
        <w:left w:val="none" w:sz="0" w:space="0" w:color="auto"/>
        <w:bottom w:val="none" w:sz="0" w:space="0" w:color="auto"/>
        <w:right w:val="none" w:sz="0" w:space="0" w:color="auto"/>
      </w:divBdr>
    </w:div>
    <w:div w:id="438574446">
      <w:marLeft w:val="0"/>
      <w:marRight w:val="0"/>
      <w:marTop w:val="0"/>
      <w:marBottom w:val="0"/>
      <w:divBdr>
        <w:top w:val="none" w:sz="0" w:space="0" w:color="auto"/>
        <w:left w:val="none" w:sz="0" w:space="0" w:color="auto"/>
        <w:bottom w:val="none" w:sz="0" w:space="0" w:color="auto"/>
        <w:right w:val="none" w:sz="0" w:space="0" w:color="auto"/>
      </w:divBdr>
    </w:div>
    <w:div w:id="438574447">
      <w:marLeft w:val="0"/>
      <w:marRight w:val="0"/>
      <w:marTop w:val="0"/>
      <w:marBottom w:val="0"/>
      <w:divBdr>
        <w:top w:val="none" w:sz="0" w:space="0" w:color="auto"/>
        <w:left w:val="none" w:sz="0" w:space="0" w:color="auto"/>
        <w:bottom w:val="none" w:sz="0" w:space="0" w:color="auto"/>
        <w:right w:val="none" w:sz="0" w:space="0" w:color="auto"/>
      </w:divBdr>
    </w:div>
    <w:div w:id="438574448">
      <w:marLeft w:val="0"/>
      <w:marRight w:val="0"/>
      <w:marTop w:val="0"/>
      <w:marBottom w:val="0"/>
      <w:divBdr>
        <w:top w:val="none" w:sz="0" w:space="0" w:color="auto"/>
        <w:left w:val="none" w:sz="0" w:space="0" w:color="auto"/>
        <w:bottom w:val="none" w:sz="0" w:space="0" w:color="auto"/>
        <w:right w:val="none" w:sz="0" w:space="0" w:color="auto"/>
      </w:divBdr>
    </w:div>
    <w:div w:id="438574449">
      <w:marLeft w:val="0"/>
      <w:marRight w:val="0"/>
      <w:marTop w:val="0"/>
      <w:marBottom w:val="0"/>
      <w:divBdr>
        <w:top w:val="none" w:sz="0" w:space="0" w:color="auto"/>
        <w:left w:val="none" w:sz="0" w:space="0" w:color="auto"/>
        <w:bottom w:val="none" w:sz="0" w:space="0" w:color="auto"/>
        <w:right w:val="none" w:sz="0" w:space="0" w:color="auto"/>
      </w:divBdr>
    </w:div>
    <w:div w:id="438574450">
      <w:marLeft w:val="0"/>
      <w:marRight w:val="0"/>
      <w:marTop w:val="0"/>
      <w:marBottom w:val="0"/>
      <w:divBdr>
        <w:top w:val="none" w:sz="0" w:space="0" w:color="auto"/>
        <w:left w:val="none" w:sz="0" w:space="0" w:color="auto"/>
        <w:bottom w:val="none" w:sz="0" w:space="0" w:color="auto"/>
        <w:right w:val="none" w:sz="0" w:space="0" w:color="auto"/>
      </w:divBdr>
    </w:div>
    <w:div w:id="438574451">
      <w:marLeft w:val="0"/>
      <w:marRight w:val="0"/>
      <w:marTop w:val="0"/>
      <w:marBottom w:val="0"/>
      <w:divBdr>
        <w:top w:val="none" w:sz="0" w:space="0" w:color="auto"/>
        <w:left w:val="none" w:sz="0" w:space="0" w:color="auto"/>
        <w:bottom w:val="none" w:sz="0" w:space="0" w:color="auto"/>
        <w:right w:val="none" w:sz="0" w:space="0" w:color="auto"/>
      </w:divBdr>
    </w:div>
    <w:div w:id="438574452">
      <w:marLeft w:val="0"/>
      <w:marRight w:val="0"/>
      <w:marTop w:val="0"/>
      <w:marBottom w:val="0"/>
      <w:divBdr>
        <w:top w:val="none" w:sz="0" w:space="0" w:color="auto"/>
        <w:left w:val="none" w:sz="0" w:space="0" w:color="auto"/>
        <w:bottom w:val="none" w:sz="0" w:space="0" w:color="auto"/>
        <w:right w:val="none" w:sz="0" w:space="0" w:color="auto"/>
      </w:divBdr>
    </w:div>
    <w:div w:id="1055395613">
      <w:bodyDiv w:val="1"/>
      <w:marLeft w:val="0"/>
      <w:marRight w:val="0"/>
      <w:marTop w:val="0"/>
      <w:marBottom w:val="0"/>
      <w:divBdr>
        <w:top w:val="none" w:sz="0" w:space="0" w:color="auto"/>
        <w:left w:val="none" w:sz="0" w:space="0" w:color="auto"/>
        <w:bottom w:val="none" w:sz="0" w:space="0" w:color="auto"/>
        <w:right w:val="none" w:sz="0" w:space="0" w:color="auto"/>
      </w:divBdr>
    </w:div>
    <w:div w:id="143913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messagecenter.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ripleapartnersllc.net/" TargetMode="External"/><Relationship Id="rId12" Type="http://schemas.openxmlformats.org/officeDocument/2006/relationships/hyperlink" Target="mailto:losangeles@sec.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amircpa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cid:image001.png@01DAD6D7.B1975A9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2100</Words>
  <Characters>11576</Characters>
  <Application>Microsoft Office Word</Application>
  <DocSecurity>0</DocSecurity>
  <Lines>251</Lines>
  <Paragraphs>75</Paragraphs>
  <ScaleCrop>false</ScaleCrop>
  <HeadingPairs>
    <vt:vector size="2" baseType="variant">
      <vt:variant>
        <vt:lpstr>Title</vt:lpstr>
      </vt:variant>
      <vt:variant>
        <vt:i4>1</vt:i4>
      </vt:variant>
    </vt:vector>
  </HeadingPairs>
  <TitlesOfParts>
    <vt:vector size="1" baseType="lpstr">
      <vt:lpstr>Business Continuity Plan Template for</vt:lpstr>
    </vt:vector>
  </TitlesOfParts>
  <Company>NASD</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 Template for</dc:title>
  <dc:creator>Komoroske</dc:creator>
  <cp:keywords>002.818067</cp:keywords>
  <cp:lastModifiedBy>warren wibbelsman</cp:lastModifiedBy>
  <cp:revision>3</cp:revision>
  <cp:lastPrinted>2018-09-06T15:25:00Z</cp:lastPrinted>
  <dcterms:created xsi:type="dcterms:W3CDTF">2024-08-05T21:22:00Z</dcterms:created>
  <dcterms:modified xsi:type="dcterms:W3CDTF">2024-08-30T14:42:00Z</dcterms:modified>
</cp:coreProperties>
</file>